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7642" w14:textId="4042B9D2" w:rsidR="00220204" w:rsidRPr="00581EC1" w:rsidRDefault="0087078A" w:rsidP="00581EC1">
      <w:pPr>
        <w:pStyle w:val="a"/>
        <w:spacing w:line="360" w:lineRule="auto"/>
        <w:ind w:left="5760" w:firstLine="720"/>
        <w:jc w:val="center"/>
        <w:rPr>
          <w:rFonts w:ascii="Verdana" w:hAnsi="Verdana"/>
          <w:bCs/>
          <w:sz w:val="20"/>
          <w:lang w:val="el-GR"/>
        </w:rPr>
      </w:pPr>
      <w:r>
        <w:rPr>
          <w:rFonts w:ascii="Verdana" w:hAnsi="Verdana"/>
          <w:bCs/>
          <w:sz w:val="20"/>
          <w:lang w:val="el-GR"/>
        </w:rPr>
        <w:t>Τετάρτη</w:t>
      </w:r>
      <w:r w:rsidR="00581EC1" w:rsidRPr="00581EC1">
        <w:rPr>
          <w:rFonts w:ascii="Verdana" w:hAnsi="Verdana"/>
          <w:bCs/>
          <w:sz w:val="20"/>
          <w:lang w:val="el-GR"/>
        </w:rPr>
        <w:t>, 1</w:t>
      </w:r>
      <w:r>
        <w:rPr>
          <w:rFonts w:ascii="Verdana" w:hAnsi="Verdana"/>
          <w:bCs/>
          <w:sz w:val="20"/>
          <w:lang w:val="el-GR"/>
        </w:rPr>
        <w:t xml:space="preserve"> Ιουλίου</w:t>
      </w:r>
      <w:r w:rsidR="00581EC1" w:rsidRPr="00581EC1">
        <w:rPr>
          <w:rFonts w:ascii="Verdana" w:hAnsi="Verdana"/>
          <w:bCs/>
          <w:sz w:val="20"/>
          <w:lang w:val="el-GR"/>
        </w:rPr>
        <w:t xml:space="preserve"> 2020</w:t>
      </w:r>
    </w:p>
    <w:p w14:paraId="54FBA71F" w14:textId="77777777" w:rsidR="00041567" w:rsidRDefault="00041567" w:rsidP="00220204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4"/>
          <w:lang w:val="el-GR"/>
        </w:rPr>
      </w:pPr>
    </w:p>
    <w:p w14:paraId="2A636E88" w14:textId="4FA41A8F" w:rsidR="00220204" w:rsidRPr="00041567" w:rsidRDefault="00220204" w:rsidP="00041567">
      <w:pPr>
        <w:pStyle w:val="a"/>
        <w:spacing w:line="360" w:lineRule="auto"/>
        <w:jc w:val="center"/>
        <w:rPr>
          <w:rFonts w:ascii="Verdana" w:hAnsi="Verdana"/>
          <w:b/>
          <w:sz w:val="22"/>
          <w:szCs w:val="22"/>
          <w:lang w:val="el-GR"/>
        </w:rPr>
      </w:pPr>
      <w:r w:rsidRPr="00041567">
        <w:rPr>
          <w:rFonts w:ascii="Verdana" w:hAnsi="Verdana"/>
          <w:b/>
          <w:sz w:val="22"/>
          <w:szCs w:val="22"/>
          <w:lang w:val="el-GR"/>
        </w:rPr>
        <w:t>ΔΕΛΤΙΟ ΤΥΠΟΥ ΜΕΛΕΤΗΣ</w:t>
      </w:r>
      <w:r w:rsidR="00A60137">
        <w:rPr>
          <w:rFonts w:ascii="Verdana" w:hAnsi="Verdana"/>
          <w:b/>
          <w:sz w:val="22"/>
          <w:szCs w:val="22"/>
          <w:lang w:val="el-GR"/>
        </w:rPr>
        <w:br/>
      </w:r>
    </w:p>
    <w:p w14:paraId="1999B769" w14:textId="77777777" w:rsidR="00A60137" w:rsidRPr="00A60137" w:rsidRDefault="00A60137" w:rsidP="00A60137">
      <w:pPr>
        <w:pStyle w:val="a"/>
        <w:spacing w:line="360" w:lineRule="auto"/>
        <w:jc w:val="center"/>
        <w:rPr>
          <w:rFonts w:ascii="Verdana" w:hAnsi="Verdana"/>
          <w:b/>
          <w:sz w:val="22"/>
          <w:szCs w:val="22"/>
          <w:lang w:val="el-GR"/>
        </w:rPr>
      </w:pPr>
      <w:r w:rsidRPr="00A60137">
        <w:rPr>
          <w:rFonts w:ascii="Verdana" w:hAnsi="Verdana"/>
          <w:b/>
          <w:sz w:val="22"/>
          <w:szCs w:val="22"/>
          <w:lang w:val="el-GR"/>
        </w:rPr>
        <w:t xml:space="preserve">Χαμηλούς αλλά θετικούς ρυθμούς μεταβολής </w:t>
      </w:r>
    </w:p>
    <w:p w14:paraId="7177C483" w14:textId="391E049F" w:rsidR="00C011DD" w:rsidRPr="00041567" w:rsidRDefault="00A60137" w:rsidP="00A60137">
      <w:pPr>
        <w:pStyle w:val="a"/>
        <w:spacing w:line="360" w:lineRule="auto"/>
        <w:jc w:val="center"/>
        <w:rPr>
          <w:rFonts w:ascii="Verdana" w:hAnsi="Verdana"/>
          <w:b/>
          <w:sz w:val="22"/>
          <w:szCs w:val="22"/>
          <w:lang w:val="el-GR"/>
        </w:rPr>
      </w:pPr>
      <w:r w:rsidRPr="00A60137">
        <w:rPr>
          <w:rFonts w:ascii="Verdana" w:hAnsi="Verdana"/>
          <w:b/>
          <w:sz w:val="22"/>
          <w:szCs w:val="22"/>
          <w:lang w:val="el-GR"/>
        </w:rPr>
        <w:t>τα τρία τελευταία έτη στην αγορά εργασίας, καταγράφει Μελέτη της ICAP</w:t>
      </w:r>
    </w:p>
    <w:p w14:paraId="08958D41" w14:textId="3B00EB76" w:rsidR="00850496" w:rsidRDefault="0085049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6A55888F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 xml:space="preserve">Η ελληνική </w:t>
      </w:r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>οικονομία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κατέγραψε χαμηλούς αλλά θετικούς ρυθμούς μεταβολής τα τρία τελευταία έτη (αύξηση ΑΕΠ 2019:1,9%, 2018:1,9%, 2017:1,5%), μετά από μια μακρά περίοδο ύφεσης. Η αγορά εργασίας κατά την περίοδο της οικονομικής κρίσης επλήγη σε μεγάλο βαθμό και η ανεργία εκτινάχθηκε σε υψηλά επίπεδα. Όμως, από το 2014 και μετά παρατηρείται αύξηση της απασχόλησης και περιορισμός του </w:t>
      </w:r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>ποσοστού ανεργίας,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έστω και με αργούς ρυθμούς (2014: 26,5%, 2019: 17,3%). </w:t>
      </w:r>
    </w:p>
    <w:p w14:paraId="6E64C61D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2B114384" w14:textId="4053BEC8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 xml:space="preserve">Ωστόσο, η θετική εικόνα των τελευταίων ετών </w:t>
      </w:r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>αντιστρέφεται το 2020,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καθώς η πανδημία λόγω της νόσου </w:t>
      </w:r>
      <w:proofErr w:type="spellStart"/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>Covid</w:t>
      </w:r>
      <w:proofErr w:type="spellEnd"/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 xml:space="preserve"> – 19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που εμφανίστηκε παγκοσμίως αλλά και στη χώρα μας (Μάρτιος 2020) οδηγεί την ελληνική οικονομία σε βαθιά </w:t>
      </w:r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>ύφεση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το </w:t>
      </w:r>
      <w:r w:rsidRPr="00BF13F3"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 w:rsidR="00BF13F3">
        <w:rPr>
          <w:rFonts w:ascii="Tahoma" w:hAnsi="Tahoma" w:cs="Tahoma"/>
          <w:b/>
          <w:bCs/>
          <w:sz w:val="22"/>
          <w:szCs w:val="22"/>
          <w:vertAlign w:val="superscript"/>
          <w:lang w:val="el-GR"/>
        </w:rPr>
        <w:t>1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. Η οικονομική δραστηριότητα και κατά συνέπεια η </w:t>
      </w:r>
      <w:r w:rsidRPr="008C0C3C">
        <w:rPr>
          <w:rFonts w:ascii="Tahoma" w:hAnsi="Tahoma" w:cs="Tahoma"/>
          <w:b/>
          <w:bCs/>
          <w:sz w:val="22"/>
          <w:szCs w:val="22"/>
          <w:lang w:val="el-GR"/>
        </w:rPr>
        <w:t>απασχόληση πλήττονται σημαντικά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στο βραχύ χρονικό ορίζοντα. Ως εκ τούτου, οι προβλέψεις σχετικά με την εξέλιξη του ποσοστού ανεργίας στην Ελλάδα το 2020 είναι δυσοίωνες, καθώς η Ευρωπαϊκή Επιτροπή εκτιμά ότι στη χώρα μας το ποσοστό ανεργίας θα αυξηθεί πάνω από 2 ποσοστιαίες μονάδες το 2020 σε σχέση με το 2019, ενώ μείωση αυτού προβλέπεται από το 2021. </w:t>
      </w:r>
    </w:p>
    <w:p w14:paraId="5057F7E4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59CDD6F8" w14:textId="37BFC1BE" w:rsid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>Η μελέτη πραγματοποιείται στο πλαίσιο της ετήσιας εκδοτικής πρωτοβουλίας της ΙCAP “</w:t>
      </w:r>
      <w:proofErr w:type="spellStart"/>
      <w:r w:rsidRPr="005D6326">
        <w:rPr>
          <w:rFonts w:ascii="Tahoma" w:hAnsi="Tahoma" w:cs="Tahoma"/>
          <w:sz w:val="22"/>
          <w:szCs w:val="22"/>
          <w:lang w:val="el-GR"/>
        </w:rPr>
        <w:t>Leading</w:t>
      </w:r>
      <w:proofErr w:type="spellEnd"/>
      <w:r w:rsidRPr="005D6326"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 w:rsidRPr="005D6326">
        <w:rPr>
          <w:rFonts w:ascii="Tahoma" w:hAnsi="Tahoma" w:cs="Tahoma"/>
          <w:sz w:val="22"/>
          <w:szCs w:val="22"/>
          <w:lang w:val="el-GR"/>
        </w:rPr>
        <w:t>Employers</w:t>
      </w:r>
      <w:proofErr w:type="spellEnd"/>
      <w:r w:rsidRPr="005D6326">
        <w:rPr>
          <w:rFonts w:ascii="Tahoma" w:hAnsi="Tahoma" w:cs="Tahoma"/>
          <w:sz w:val="22"/>
          <w:szCs w:val="22"/>
          <w:lang w:val="el-GR"/>
        </w:rPr>
        <w:t xml:space="preserve"> in </w:t>
      </w:r>
      <w:proofErr w:type="spellStart"/>
      <w:r w:rsidRPr="005D6326">
        <w:rPr>
          <w:rFonts w:ascii="Tahoma" w:hAnsi="Tahoma" w:cs="Tahoma"/>
          <w:sz w:val="22"/>
          <w:szCs w:val="22"/>
          <w:lang w:val="el-GR"/>
        </w:rPr>
        <w:t>Greece</w:t>
      </w:r>
      <w:proofErr w:type="spellEnd"/>
      <w:r w:rsidRPr="005D6326">
        <w:rPr>
          <w:rFonts w:ascii="Tahoma" w:hAnsi="Tahoma" w:cs="Tahoma"/>
          <w:sz w:val="22"/>
          <w:szCs w:val="22"/>
          <w:lang w:val="el-GR"/>
        </w:rPr>
        <w:t>” που εστιάζει στην ζωτικής σημασίας για τις επιχειρήσεις, αξία των ευρύτερων πρακτικών Διοίκησης και Ανάπτυξης Ανθρώπινου Δυναμικού αλλά και των προγραμμάτων Κοινωνικής Δράσης και Προσφοράς.</w:t>
      </w:r>
    </w:p>
    <w:p w14:paraId="52786705" w14:textId="70151237" w:rsidR="00BF13F3" w:rsidRDefault="00BF13F3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7368BB4B" w14:textId="3289F58D" w:rsidR="00BF13F3" w:rsidRPr="00BF13F3" w:rsidRDefault="00BF13F3" w:rsidP="005D6326">
      <w:pPr>
        <w:pStyle w:val="a"/>
        <w:spacing w:line="360" w:lineRule="auto"/>
        <w:jc w:val="both"/>
        <w:rPr>
          <w:rFonts w:ascii="Tahoma" w:hAnsi="Tahoma" w:cs="Tahoma"/>
          <w:sz w:val="16"/>
          <w:szCs w:val="16"/>
          <w:lang w:val="el-GR"/>
        </w:rPr>
      </w:pPr>
      <w:r w:rsidRPr="00BF13F3">
        <w:rPr>
          <w:rFonts w:ascii="Tahoma" w:hAnsi="Tahoma" w:cs="Tahoma"/>
          <w:sz w:val="16"/>
          <w:szCs w:val="16"/>
          <w:lang w:val="el-GR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el-GR"/>
        </w:rPr>
        <w:t>1</w:t>
      </w:r>
      <w:r>
        <w:rPr>
          <w:rFonts w:ascii="Tahoma" w:hAnsi="Tahoma" w:cs="Tahoma"/>
          <w:sz w:val="16"/>
          <w:szCs w:val="16"/>
          <w:lang w:val="el-GR"/>
        </w:rPr>
        <w:t xml:space="preserve"> </w:t>
      </w:r>
      <w:r w:rsidRPr="00BF13F3">
        <w:rPr>
          <w:rFonts w:ascii="Tahoma" w:hAnsi="Tahoma" w:cs="Tahoma"/>
          <w:sz w:val="16"/>
          <w:szCs w:val="16"/>
          <w:lang w:val="el-GR"/>
        </w:rPr>
        <w:t>Το Πρόγραμμα Σταθερότητας 2020 της ελληνικής κυβέρνησης αναφέρει δύο σενάρια σχετικά με την ύφεση το 2020. Το βασικό με ρυθμό μεταβολής του ΑΕΠ -4,7% και το δυσμενές με ρυθμό -7,9% έχοντας λάβει υπόψη την επίδραση των δημοσιονομικών και άλλων μέτρων που έλαβε η κυβέρνηση.</w:t>
      </w:r>
    </w:p>
    <w:p w14:paraId="48BCCC93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0E00ED23" w14:textId="77777777" w:rsidR="005D6326" w:rsidRPr="00E83F36" w:rsidRDefault="005D6326" w:rsidP="005D6326">
      <w:pPr>
        <w:pStyle w:val="a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E83F36">
        <w:rPr>
          <w:rFonts w:ascii="Tahoma" w:hAnsi="Tahoma" w:cs="Tahoma"/>
          <w:b/>
          <w:bCs/>
          <w:sz w:val="22"/>
          <w:szCs w:val="22"/>
          <w:lang w:val="el-GR"/>
        </w:rPr>
        <w:lastRenderedPageBreak/>
        <w:t>ΔΗΛΩΣΗ</w:t>
      </w:r>
    </w:p>
    <w:p w14:paraId="54960100" w14:textId="77777777" w:rsidR="005D6326" w:rsidRPr="00E83F36" w:rsidRDefault="005D6326" w:rsidP="005D6326">
      <w:pPr>
        <w:pStyle w:val="a"/>
        <w:spacing w:line="360" w:lineRule="auto"/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 xml:space="preserve">Νικήτα </w:t>
      </w:r>
      <w:proofErr w:type="spellStart"/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>Κωνσταντέλλου</w:t>
      </w:r>
      <w:proofErr w:type="spellEnd"/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>, Προέδρου και Διευθύνοντος Συμβούλου του Ομίλου Εταιρειών ICAP.</w:t>
      </w:r>
    </w:p>
    <w:p w14:paraId="19B13A10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3F0D4237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 xml:space="preserve">«Η </w:t>
      </w:r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>αγορά εργασίας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αντιμετωπίζει πρωτόγνωρες συνθήκες το τελευταίο διάστημα, καθώς η πανδημία </w:t>
      </w:r>
      <w:proofErr w:type="spellStart"/>
      <w:r w:rsidRPr="005D6326">
        <w:rPr>
          <w:rFonts w:ascii="Tahoma" w:hAnsi="Tahoma" w:cs="Tahoma"/>
          <w:sz w:val="22"/>
          <w:szCs w:val="22"/>
          <w:lang w:val="el-GR"/>
        </w:rPr>
        <w:t>Covid</w:t>
      </w:r>
      <w:proofErr w:type="spellEnd"/>
      <w:r w:rsidRPr="005D6326">
        <w:rPr>
          <w:rFonts w:ascii="Tahoma" w:hAnsi="Tahoma" w:cs="Tahoma"/>
          <w:sz w:val="22"/>
          <w:szCs w:val="22"/>
          <w:lang w:val="el-GR"/>
        </w:rPr>
        <w:t xml:space="preserve"> – 19 που εμφανίστηκε στη χώρα μας, αλλά και σε ολόκληρο τον κόσμο, αναμένεται να οδηγήσει την </w:t>
      </w:r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>ελληνική οικονομία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σε βαθιά </w:t>
      </w:r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>ύφεση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το 2020. Οι επιπτώσεις της υγειονομικής κρίσης, από τα μέσα Μαρτίου και έπειτα, αποτυπώθηκαν μερικώς στα στοιχεία του πρώτου τριμήνου του τρέχοντος έτους, καθώς το </w:t>
      </w:r>
      <w:r w:rsidRPr="00E83F36">
        <w:rPr>
          <w:rFonts w:ascii="Tahoma" w:hAnsi="Tahoma" w:cs="Tahoma"/>
          <w:b/>
          <w:bCs/>
          <w:sz w:val="22"/>
          <w:szCs w:val="22"/>
          <w:lang w:val="el-GR"/>
        </w:rPr>
        <w:t>ΑΕΠ μειώθηκε κατά 0,9%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σε σχέση με το αντίστοιχο διάστημα του 2019. Η μείωση της οικονομικής δραστηριότητας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πλήττει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σημαντικά την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απασχόληση,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έστω και σε βραχύ χρονικό ορίζοντα. </w:t>
      </w:r>
    </w:p>
    <w:p w14:paraId="7AB21FFA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1E81BE85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 xml:space="preserve">Η θετική λοιπόν εικόνα που παρουσίασε η αγορά εργασίας τα προηγούμενα έτη και συγκεκριμένα η αύξηση της απασχόλησης και η μείωση της ανεργίας για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έκτη συνεχόμενη χρονιά,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έστω και με αργούς ρυθμούς, θα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αντιστραφεί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το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2020,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καθώς οι μέχρι τώρα προβλέψεις για την πορεία της ανεργίας είναι δυσοίωνες για το τρέχον έτος. </w:t>
      </w:r>
    </w:p>
    <w:p w14:paraId="7276C22A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5103BAE5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 xml:space="preserve">Ο ετήσιος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δείκτης ανεργίας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διαμορφώθηκε στο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17,3%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το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2019,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καταγράφοντας μείωση κατά 10 περίπου ποσοστιαίες μονάδες σε σχέση με το 2013, παραμένοντας ωστόσο σε </w:t>
      </w:r>
      <w:r w:rsidRPr="00FA50C5">
        <w:rPr>
          <w:rFonts w:ascii="Tahoma" w:hAnsi="Tahoma" w:cs="Tahoma"/>
          <w:b/>
          <w:bCs/>
          <w:sz w:val="22"/>
          <w:szCs w:val="22"/>
          <w:lang w:val="el-GR"/>
        </w:rPr>
        <w:t>υψηλά επίπεδα.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Σύμφωνα με την τελευταία έρευνα Εργατικού Δυναμικού, το Α΄ τρίμηνο του 2020 οι απασχολούμενοι στη χώρα μας αυξήθηκαν οριακά κατά 1,0% σε σχέση με τις αρχές του 2019, το δε ποσοστό ανεργίας διαμορφώθηκε στο </w:t>
      </w:r>
      <w:r w:rsidRPr="00A3597F">
        <w:rPr>
          <w:rFonts w:ascii="Tahoma" w:hAnsi="Tahoma" w:cs="Tahoma"/>
          <w:b/>
          <w:bCs/>
          <w:sz w:val="22"/>
          <w:szCs w:val="22"/>
          <w:lang w:val="el-GR"/>
        </w:rPr>
        <w:t>16,2%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το α΄ τρίμηνο του έτους από 19,2% το αντίστοιχο του 2019. Ωστόσο, οι </w:t>
      </w:r>
      <w:r w:rsidRPr="00A3597F">
        <w:rPr>
          <w:rFonts w:ascii="Tahoma" w:hAnsi="Tahoma" w:cs="Tahoma"/>
          <w:b/>
          <w:bCs/>
          <w:sz w:val="22"/>
          <w:szCs w:val="22"/>
          <w:lang w:val="el-GR"/>
        </w:rPr>
        <w:t>αρνητικές συνέπειες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στην απασχόληση λόγω της πανδημίας αναμένεται να φανούν κυρίως τους </w:t>
      </w:r>
      <w:r w:rsidRPr="00A3597F">
        <w:rPr>
          <w:rFonts w:ascii="Tahoma" w:hAnsi="Tahoma" w:cs="Tahoma"/>
          <w:b/>
          <w:bCs/>
          <w:sz w:val="22"/>
          <w:szCs w:val="22"/>
          <w:lang w:val="el-GR"/>
        </w:rPr>
        <w:t>επόμενους μήνες.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Εξάλλου, έντονος προβληματισμός και αβεβαιότητα επικρατεί στον επιχειρηματικό κόσμο σχετικά με την πορεία κλάδων που συνεισφέρουν σημαντικά στην απασχόληση, όπως είναι ο τουρισμός. Είναι ενδεικτικό ότι η Ε.Ε (Μάιος 2020) προβλέπει ότι η ανεργία θα σκαρφαλώσει στο 19,9% για το 2020. </w:t>
      </w:r>
    </w:p>
    <w:p w14:paraId="1725C3ED" w14:textId="77777777" w:rsidR="005D6326" w:rsidRP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</w:p>
    <w:p w14:paraId="2D55E1B7" w14:textId="1EDA21AF" w:rsidR="005D6326" w:rsidRDefault="005D6326" w:rsidP="005D6326">
      <w:pPr>
        <w:pStyle w:val="a"/>
        <w:spacing w:line="360" w:lineRule="auto"/>
        <w:jc w:val="both"/>
        <w:rPr>
          <w:rFonts w:ascii="Tahoma" w:hAnsi="Tahoma" w:cs="Tahoma"/>
          <w:sz w:val="22"/>
          <w:szCs w:val="22"/>
          <w:lang w:val="el-GR"/>
        </w:rPr>
      </w:pPr>
      <w:r w:rsidRPr="005D6326">
        <w:rPr>
          <w:rFonts w:ascii="Tahoma" w:hAnsi="Tahoma" w:cs="Tahoma"/>
          <w:sz w:val="22"/>
          <w:szCs w:val="22"/>
          <w:lang w:val="el-GR"/>
        </w:rPr>
        <w:t xml:space="preserve">Η ομαλοποίηση της λειτουργίας της αγοράς, μετά το </w:t>
      </w:r>
      <w:proofErr w:type="spellStart"/>
      <w:r w:rsidRPr="005D6326">
        <w:rPr>
          <w:rFonts w:ascii="Tahoma" w:hAnsi="Tahoma" w:cs="Tahoma"/>
          <w:sz w:val="22"/>
          <w:szCs w:val="22"/>
          <w:lang w:val="el-GR"/>
        </w:rPr>
        <w:t>lockdown</w:t>
      </w:r>
      <w:proofErr w:type="spellEnd"/>
      <w:r w:rsidRPr="005D6326">
        <w:rPr>
          <w:rFonts w:ascii="Tahoma" w:hAnsi="Tahoma" w:cs="Tahoma"/>
          <w:sz w:val="22"/>
          <w:szCs w:val="22"/>
          <w:lang w:val="el-GR"/>
        </w:rPr>
        <w:t xml:space="preserve">, ξεκινά ουσιαστικά το δεύτερο εξάμηνο του 2020. Σίγουρα τα διάφορα </w:t>
      </w:r>
      <w:r w:rsidRPr="00A3597F">
        <w:rPr>
          <w:rFonts w:ascii="Tahoma" w:hAnsi="Tahoma" w:cs="Tahoma"/>
          <w:b/>
          <w:bCs/>
          <w:sz w:val="22"/>
          <w:szCs w:val="22"/>
          <w:lang w:val="el-GR"/>
        </w:rPr>
        <w:t>μέτρα</w:t>
      </w:r>
      <w:r w:rsidRPr="005D6326">
        <w:rPr>
          <w:rFonts w:ascii="Tahoma" w:hAnsi="Tahoma" w:cs="Tahoma"/>
          <w:sz w:val="22"/>
          <w:szCs w:val="22"/>
          <w:lang w:val="el-GR"/>
        </w:rPr>
        <w:t xml:space="preserve"> που λαμβάνει η Πολιτεία για τη στήριξη των επιχειρήσεων αναμένεται να συμβάλουν στον περιορισμό των απωλειών θέσεων εργασίας, </w:t>
      </w:r>
      <w:r w:rsidRPr="005D6326">
        <w:rPr>
          <w:rFonts w:ascii="Tahoma" w:hAnsi="Tahoma" w:cs="Tahoma"/>
          <w:sz w:val="22"/>
          <w:szCs w:val="22"/>
          <w:lang w:val="el-GR"/>
        </w:rPr>
        <w:lastRenderedPageBreak/>
        <w:t>ωστόσο απαιτούνται αποτελεσματικότερες παρεμβάσεις για την επίλυση των πολλαπλών προβλημάτων που έχει επιφέρει η διαχείριση της υγειονομικής κρίσης».</w:t>
      </w:r>
    </w:p>
    <w:p w14:paraId="14E004C4" w14:textId="4FE591D0" w:rsidR="00220204" w:rsidRDefault="00220204" w:rsidP="00A84E51">
      <w:pPr>
        <w:pStyle w:val="a"/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</w:p>
    <w:p w14:paraId="1096FDDF" w14:textId="72C0B8CC" w:rsidR="00E040BF" w:rsidRPr="00C92211" w:rsidRDefault="00E040BF" w:rsidP="00E040BF">
      <w:pPr>
        <w:spacing w:line="360" w:lineRule="auto"/>
        <w:ind w:firstLine="720"/>
        <w:jc w:val="both"/>
        <w:rPr>
          <w:rFonts w:ascii="Verdana" w:hAnsi="Verdana" w:cs="Tahoma"/>
          <w:sz w:val="20"/>
          <w:szCs w:val="20"/>
          <w:lang w:val="el-GR"/>
        </w:rPr>
      </w:pPr>
    </w:p>
    <w:p w14:paraId="0B3929D2" w14:textId="4B9D3D44" w:rsidR="00E22010" w:rsidRPr="00E22010" w:rsidRDefault="00E22010" w:rsidP="00E22010">
      <w:pPr>
        <w:spacing w:after="0" w:line="240" w:lineRule="auto"/>
        <w:jc w:val="center"/>
        <w:rPr>
          <w:rFonts w:ascii="Verdana" w:eastAsia="Arial Unicode MS" w:hAnsi="Verdana" w:cs="Calibri"/>
          <w:noProof/>
          <w:color w:val="C45911"/>
          <w:sz w:val="28"/>
          <w:szCs w:val="28"/>
          <w:lang w:val="el-GR" w:eastAsia="el-GR"/>
        </w:rPr>
      </w:pPr>
      <w:r w:rsidRPr="00E22010">
        <w:rPr>
          <w:rFonts w:ascii="Verdana" w:eastAsia="Arial Unicode MS" w:hAnsi="Verdana" w:cs="Calibri"/>
          <w:noProof/>
          <w:color w:val="C45911"/>
          <w:sz w:val="28"/>
          <w:szCs w:val="28"/>
          <w:lang w:val="el-GR" w:eastAsia="el-GR"/>
        </w:rPr>
        <w:t>Δείτε</w:t>
      </w:r>
      <w:r w:rsidRPr="00E22010">
        <w:rPr>
          <w:rFonts w:ascii="Verdana" w:eastAsia="Arial Unicode MS" w:hAnsi="Verdana" w:cs="Calibri"/>
          <w:bCs/>
          <w:iCs/>
          <w:color w:val="C45911"/>
          <w:sz w:val="28"/>
          <w:szCs w:val="28"/>
          <w:lang w:val="el-GR"/>
        </w:rPr>
        <w:t xml:space="preserve"> </w:t>
      </w:r>
      <w:hyperlink r:id="rId7" w:history="1">
        <w:r w:rsidRPr="00E22010">
          <w:rPr>
            <w:rFonts w:ascii="Verdana" w:eastAsia="Arial Unicode MS" w:hAnsi="Verdana" w:cs="Calibri"/>
            <w:bCs/>
            <w:iCs/>
            <w:color w:val="0000FF"/>
            <w:sz w:val="28"/>
            <w:szCs w:val="28"/>
            <w:u w:val="single"/>
            <w:lang w:val="el-GR"/>
          </w:rPr>
          <w:t>ΕΔΩ</w:t>
        </w:r>
      </w:hyperlink>
      <w:r w:rsidRPr="00E22010">
        <w:rPr>
          <w:rFonts w:ascii="Verdana" w:eastAsia="Arial Unicode MS" w:hAnsi="Verdana" w:cs="Calibri"/>
          <w:bCs/>
          <w:iCs/>
          <w:color w:val="C45911"/>
          <w:sz w:val="28"/>
          <w:szCs w:val="28"/>
          <w:lang w:val="el-GR"/>
        </w:rPr>
        <w:t xml:space="preserve"> </w:t>
      </w:r>
      <w:r w:rsidRPr="00E22010">
        <w:rPr>
          <w:rFonts w:ascii="Verdana" w:eastAsia="Arial Unicode MS" w:hAnsi="Verdana" w:cs="Calibri"/>
          <w:noProof/>
          <w:color w:val="C45911"/>
          <w:sz w:val="28"/>
          <w:szCs w:val="28"/>
          <w:lang w:val="el-GR" w:eastAsia="el-GR"/>
        </w:rPr>
        <w:t>όλα τα Δελτία Τύπου της ICAP.</w:t>
      </w:r>
    </w:p>
    <w:p w14:paraId="2B0611F7" w14:textId="77777777" w:rsidR="00E22010" w:rsidRPr="00E22010" w:rsidRDefault="00E22010" w:rsidP="00E22010">
      <w:pPr>
        <w:spacing w:after="0" w:line="240" w:lineRule="auto"/>
        <w:jc w:val="center"/>
        <w:rPr>
          <w:rFonts w:ascii="Verdana" w:eastAsia="Arial Unicode MS" w:hAnsi="Verdana" w:cs="Calibri"/>
          <w:noProof/>
          <w:color w:val="C45911"/>
          <w:sz w:val="28"/>
          <w:szCs w:val="28"/>
          <w:lang w:val="el-GR" w:eastAsia="el-GR"/>
        </w:rPr>
      </w:pPr>
    </w:p>
    <w:p w14:paraId="22EBFECF" w14:textId="77777777" w:rsidR="00E22010" w:rsidRPr="00E22010" w:rsidRDefault="00E22010" w:rsidP="00E22010">
      <w:pPr>
        <w:shd w:val="pct10" w:color="auto" w:fill="auto"/>
        <w:spacing w:after="0" w:line="360" w:lineRule="auto"/>
        <w:ind w:firstLine="425"/>
        <w:jc w:val="both"/>
        <w:rPr>
          <w:rFonts w:ascii="Verdana" w:eastAsia="Times New Roman" w:hAnsi="Verdana" w:cs="Calibri"/>
          <w:b/>
          <w:color w:val="000000"/>
          <w:sz w:val="20"/>
          <w:lang w:val="el-GR" w:eastAsia="el-GR"/>
        </w:rPr>
      </w:pPr>
      <w:r w:rsidRPr="00E22010">
        <w:rPr>
          <w:rFonts w:ascii="Verdana" w:eastAsia="Times New Roman" w:hAnsi="Verdana" w:cs="Calibri"/>
          <w:b/>
          <w:color w:val="000000"/>
          <w:sz w:val="20"/>
          <w:lang w:val="el-GR" w:eastAsia="el-GR"/>
        </w:rPr>
        <w:t>Φωτογραφίες</w:t>
      </w:r>
    </w:p>
    <w:p w14:paraId="20B5B2AD" w14:textId="4EE8041D" w:rsidR="00E22010" w:rsidRPr="00E9533B" w:rsidRDefault="001C3195" w:rsidP="00E9533B">
      <w:pPr>
        <w:rPr>
          <w:rFonts w:ascii="Calibri" w:hAnsi="Calibri" w:cs="Calibri"/>
          <w:b/>
          <w:noProof/>
          <w:color w:val="000000"/>
          <w:lang w:val="el-GR" w:eastAsia="el-GR"/>
        </w:rPr>
      </w:pPr>
      <w:r w:rsidRPr="00801557">
        <w:rPr>
          <w:lang w:val="el-GR"/>
        </w:rPr>
        <w:br/>
      </w:r>
      <w:hyperlink r:id="rId8" w:history="1">
        <w:r w:rsidR="00801557" w:rsidRPr="00801557">
          <w:rPr>
            <w:rStyle w:val="Hyperlink"/>
            <w:rFonts w:ascii="Verdana" w:eastAsia="Times New Roman" w:hAnsi="Verdana" w:cs="Calibri"/>
            <w:b/>
            <w:noProof/>
            <w:sz w:val="20"/>
            <w:lang w:val="el-GR"/>
          </w:rPr>
          <w:t>Νικήτας Κωνσταντέλλος,</w:t>
        </w:r>
      </w:hyperlink>
      <w:r w:rsidR="00801557" w:rsidRPr="00801557">
        <w:rPr>
          <w:rFonts w:ascii="Verdana" w:eastAsia="Times New Roman" w:hAnsi="Verdana" w:cs="Calibri"/>
          <w:b/>
          <w:noProof/>
          <w:color w:val="000000"/>
          <w:sz w:val="20"/>
          <w:lang w:val="el-GR"/>
        </w:rPr>
        <w:t xml:space="preserve"> Πρόεδρος και Διευθύνων Συμβούλος Ομίλου Εταιρειών ICAP</w:t>
      </w:r>
    </w:p>
    <w:p w14:paraId="7594509D" w14:textId="77777777" w:rsidR="00E22010" w:rsidRPr="00E22010" w:rsidRDefault="00E22010" w:rsidP="00E22010">
      <w:pPr>
        <w:shd w:val="pct10" w:color="auto" w:fill="auto"/>
        <w:spacing w:after="0" w:line="360" w:lineRule="auto"/>
        <w:ind w:firstLine="425"/>
        <w:jc w:val="both"/>
        <w:rPr>
          <w:rFonts w:ascii="Calibri" w:eastAsia="Times New Roman" w:hAnsi="Calibri" w:cs="Calibri"/>
          <w:color w:val="000000"/>
          <w:sz w:val="20"/>
          <w:szCs w:val="24"/>
          <w:lang w:val="el-GR" w:eastAsia="el-GR"/>
        </w:rPr>
      </w:pPr>
    </w:p>
    <w:p w14:paraId="1B48D373" w14:textId="5D4C98FD" w:rsidR="00B93F5B" w:rsidRDefault="00C47BC7" w:rsidP="00E9533B">
      <w:pPr>
        <w:spacing w:after="0" w:line="360" w:lineRule="auto"/>
        <w:jc w:val="both"/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</w:pPr>
      <w:r w:rsidRPr="00C47BC7"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  <w:t xml:space="preserve">Οι </w:t>
      </w:r>
      <w:hyperlink r:id="rId9" w:history="1">
        <w:r w:rsidRPr="00C47BC7">
          <w:rPr>
            <w:rStyle w:val="Hyperlink"/>
            <w:rFonts w:ascii="Verdana" w:eastAsia="Times New Roman" w:hAnsi="Verdana" w:cs="Calibri"/>
            <w:b/>
            <w:noProof/>
            <w:sz w:val="20"/>
            <w:szCs w:val="24"/>
            <w:lang w:val="el-GR" w:eastAsia="el-GR"/>
          </w:rPr>
          <w:t>Εταιρείες ICAP</w:t>
        </w:r>
      </w:hyperlink>
      <w:r w:rsidRPr="00C47BC7"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  <w:t xml:space="preserve"> – με 56 χρόνια προσφοράς στο επιχειρηματικό γίγνεσθαι και 1.</w:t>
      </w:r>
      <w:r w:rsidR="000250C6">
        <w:rPr>
          <w:rFonts w:ascii="Verdana" w:eastAsia="Times New Roman" w:hAnsi="Verdana" w:cs="Calibri"/>
          <w:noProof/>
          <w:color w:val="000000"/>
          <w:sz w:val="20"/>
          <w:szCs w:val="24"/>
          <w:lang w:eastAsia="el-GR"/>
        </w:rPr>
        <w:t>0</w:t>
      </w:r>
      <w:bookmarkStart w:id="0" w:name="_GoBack"/>
      <w:bookmarkEnd w:id="0"/>
      <w:r w:rsidRPr="00C47BC7"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  <w:t xml:space="preserve">00 εργαζόμενους – αποτελούν αθροιστικά, έναν από τους μεγαλύτερους Παρόχους B2B υπηρεσιών στη Νοτιοανατολική Ευρώπη, προσφέροντας ένα μεγάλο εύρος υπηρεσιών και προϊόντων που ομαδοποιούνται σε </w:t>
      </w:r>
      <w:r w:rsidRPr="001C3195">
        <w:rPr>
          <w:rFonts w:ascii="Verdana" w:eastAsia="Times New Roman" w:hAnsi="Verdana" w:cs="Calibri"/>
          <w:b/>
          <w:bCs/>
          <w:noProof/>
          <w:color w:val="000000"/>
          <w:sz w:val="20"/>
          <w:szCs w:val="24"/>
          <w:lang w:val="el-GR" w:eastAsia="el-GR"/>
        </w:rPr>
        <w:t>2 μεγάλες κατηγορίες: Business Information &amp; Credit Risk Services, και Human Capital &amp; Outsourcing Solutions</w:t>
      </w:r>
      <w:r w:rsidRPr="00C47BC7"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  <w:t>.</w:t>
      </w:r>
    </w:p>
    <w:p w14:paraId="6429EE01" w14:textId="33600621" w:rsidR="00E22010" w:rsidRPr="003F6533" w:rsidRDefault="000250C6" w:rsidP="003F6533">
      <w:pPr>
        <w:spacing w:after="0" w:line="360" w:lineRule="auto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</w:pPr>
      <w:hyperlink r:id="rId10" w:history="1">
        <w:r w:rsidR="00E22010" w:rsidRPr="00E22010">
          <w:rPr>
            <w:rFonts w:ascii="Verdana" w:eastAsia="Times New Roman" w:hAnsi="Verdana" w:cs="Calibri"/>
            <w:b/>
            <w:noProof/>
            <w:color w:val="0000FF"/>
            <w:sz w:val="20"/>
            <w:szCs w:val="24"/>
            <w:u w:val="single"/>
            <w:lang w:val="el-GR" w:eastAsia="el-GR"/>
          </w:rPr>
          <w:t>ΛΟΓΟΤΥΠΟ</w:t>
        </w:r>
      </w:hyperlink>
      <w:r w:rsidR="00E22010" w:rsidRPr="0001341A"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  <w:t xml:space="preserve"> </w:t>
      </w:r>
      <w:r w:rsidR="00E22010" w:rsidRPr="00E22010"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  <w:t>Ομίλου</w:t>
      </w:r>
      <w:r w:rsidR="00E22010" w:rsidRPr="0001341A"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  <w:t xml:space="preserve"> </w:t>
      </w:r>
      <w:r w:rsidR="00E22010" w:rsidRPr="00E22010"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  <w:t>εταιρειών</w:t>
      </w:r>
      <w:r w:rsidR="00E22010" w:rsidRPr="0001341A"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  <w:t xml:space="preserve"> </w:t>
      </w:r>
      <w:r w:rsidR="00E22010" w:rsidRPr="00E22010">
        <w:rPr>
          <w:rFonts w:ascii="Verdana" w:eastAsia="Times New Roman" w:hAnsi="Verdana" w:cs="Calibri"/>
          <w:b/>
          <w:noProof/>
          <w:color w:val="000000"/>
          <w:sz w:val="20"/>
          <w:szCs w:val="24"/>
          <w:lang w:eastAsia="el-GR"/>
        </w:rPr>
        <w:t>ICAP</w:t>
      </w:r>
      <w:r w:rsidR="00E22010" w:rsidRPr="0001341A">
        <w:rPr>
          <w:rFonts w:ascii="Verdana" w:eastAsia="Times New Roman" w:hAnsi="Verdana" w:cs="Calibri"/>
          <w:b/>
          <w:noProof/>
          <w:color w:val="000000"/>
          <w:sz w:val="20"/>
          <w:szCs w:val="24"/>
          <w:lang w:val="el-GR" w:eastAsia="el-GR"/>
        </w:rPr>
        <w:t>.</w:t>
      </w:r>
    </w:p>
    <w:p w14:paraId="379C97FF" w14:textId="77777777" w:rsidR="00E22010" w:rsidRPr="0001341A" w:rsidRDefault="00E22010" w:rsidP="00E22010">
      <w:pPr>
        <w:shd w:val="pct10" w:color="auto" w:fill="auto"/>
        <w:spacing w:after="0" w:line="360" w:lineRule="auto"/>
        <w:ind w:firstLine="425"/>
        <w:jc w:val="both"/>
        <w:rPr>
          <w:rFonts w:ascii="Verdana" w:eastAsia="Times New Roman" w:hAnsi="Verdana" w:cs="Calibri"/>
          <w:color w:val="000000"/>
          <w:sz w:val="20"/>
          <w:szCs w:val="24"/>
          <w:lang w:val="el-GR" w:eastAsia="el-GR"/>
        </w:rPr>
      </w:pPr>
    </w:p>
    <w:p w14:paraId="0D7FE03D" w14:textId="77777777" w:rsidR="00E22010" w:rsidRPr="0001341A" w:rsidRDefault="00E22010" w:rsidP="00143FAA">
      <w:pPr>
        <w:spacing w:after="0" w:line="360" w:lineRule="auto"/>
        <w:jc w:val="both"/>
        <w:rPr>
          <w:rFonts w:ascii="Verdana" w:eastAsia="Times New Roman" w:hAnsi="Verdana" w:cs="Calibri"/>
          <w:b/>
          <w:sz w:val="20"/>
          <w:szCs w:val="24"/>
          <w:lang w:val="el-GR" w:eastAsia="el-GR"/>
        </w:rPr>
      </w:pPr>
      <w:r w:rsidRPr="00E22010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>Περισσότερες</w:t>
      </w:r>
      <w:r w:rsidRPr="0001341A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 xml:space="preserve"> </w:t>
      </w:r>
      <w:r w:rsidRPr="00E22010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>Πληροφορίες</w:t>
      </w:r>
      <w:r w:rsidRPr="0001341A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 xml:space="preserve">:  </w:t>
      </w:r>
      <w:r w:rsidRPr="00E22010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>Γραφείο</w:t>
      </w:r>
      <w:r w:rsidRPr="0001341A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 xml:space="preserve"> </w:t>
      </w:r>
      <w:r w:rsidRPr="00E22010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>Τύπου</w:t>
      </w:r>
      <w:r w:rsidRPr="0001341A">
        <w:rPr>
          <w:rFonts w:ascii="Verdana" w:eastAsia="Times New Roman" w:hAnsi="Verdana" w:cs="Calibri"/>
          <w:b/>
          <w:sz w:val="20"/>
          <w:szCs w:val="24"/>
          <w:lang w:val="el-GR" w:eastAsia="el-GR"/>
        </w:rPr>
        <w:t xml:space="preserve"> </w:t>
      </w:r>
      <w:r w:rsidRPr="00E22010">
        <w:rPr>
          <w:rFonts w:ascii="Verdana" w:eastAsia="Times New Roman" w:hAnsi="Verdana" w:cs="Calibri"/>
          <w:b/>
          <w:sz w:val="20"/>
          <w:szCs w:val="24"/>
          <w:lang w:eastAsia="el-GR"/>
        </w:rPr>
        <w:t>ICAP</w:t>
      </w:r>
    </w:p>
    <w:p w14:paraId="07F673C5" w14:textId="77777777" w:rsidR="00143FAA" w:rsidRPr="00143FAA" w:rsidRDefault="00143FAA" w:rsidP="00143FAA">
      <w:pPr>
        <w:spacing w:after="0" w:line="360" w:lineRule="auto"/>
        <w:rPr>
          <w:rFonts w:ascii="Verdana" w:eastAsia="Times New Roman" w:hAnsi="Verdana" w:cs="Calibri"/>
          <w:noProof/>
          <w:color w:val="000000"/>
          <w:sz w:val="20"/>
          <w:szCs w:val="24"/>
          <w:lang w:eastAsia="el-GR"/>
        </w:rPr>
      </w:pPr>
      <w:r w:rsidRPr="00143FAA"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  <w:t>Φρατζέσκα</w:t>
      </w:r>
      <w:r w:rsidRPr="00143FAA">
        <w:rPr>
          <w:rFonts w:ascii="Verdana" w:eastAsia="Times New Roman" w:hAnsi="Verdana" w:cs="Calibri"/>
          <w:noProof/>
          <w:color w:val="000000"/>
          <w:sz w:val="20"/>
          <w:szCs w:val="24"/>
          <w:lang w:eastAsia="el-GR"/>
        </w:rPr>
        <w:t xml:space="preserve"> </w:t>
      </w:r>
      <w:r w:rsidRPr="00143FAA">
        <w:rPr>
          <w:rFonts w:ascii="Verdana" w:eastAsia="Times New Roman" w:hAnsi="Verdana" w:cs="Calibri"/>
          <w:noProof/>
          <w:color w:val="000000"/>
          <w:sz w:val="20"/>
          <w:szCs w:val="24"/>
          <w:lang w:val="el-GR" w:eastAsia="el-GR"/>
        </w:rPr>
        <w:t>Σιδερή</w:t>
      </w:r>
      <w:r w:rsidRPr="00143FAA">
        <w:rPr>
          <w:rFonts w:ascii="Verdana" w:eastAsia="Times New Roman" w:hAnsi="Verdana" w:cs="Calibri"/>
          <w:noProof/>
          <w:color w:val="000000"/>
          <w:sz w:val="20"/>
          <w:szCs w:val="24"/>
          <w:lang w:eastAsia="el-GR"/>
        </w:rPr>
        <w:t xml:space="preserve">, Communications &amp; Marketing Senior Manager </w:t>
      </w:r>
    </w:p>
    <w:p w14:paraId="54E17610" w14:textId="14C404FE" w:rsidR="00E22010" w:rsidRPr="00143FAA" w:rsidRDefault="00143FAA" w:rsidP="00143FAA">
      <w:pPr>
        <w:spacing w:after="0" w:line="360" w:lineRule="auto"/>
        <w:rPr>
          <w:rFonts w:ascii="Verdana" w:eastAsia="Times New Roman" w:hAnsi="Verdana" w:cs="Calibri"/>
          <w:sz w:val="20"/>
          <w:szCs w:val="24"/>
        </w:rPr>
      </w:pPr>
      <w:r w:rsidRPr="00143FAA">
        <w:rPr>
          <w:rFonts w:ascii="Verdana" w:eastAsia="Times New Roman" w:hAnsi="Verdana" w:cs="Calibri"/>
          <w:noProof/>
          <w:color w:val="000000"/>
          <w:sz w:val="20"/>
          <w:szCs w:val="24"/>
          <w:lang w:eastAsia="el-GR"/>
        </w:rPr>
        <w:t>e-mail: pr@icap.gr |T: 210 7200 495 |M: 693 673 5 143</w:t>
      </w:r>
    </w:p>
    <w:p w14:paraId="687B26A4" w14:textId="77777777" w:rsidR="00E22010" w:rsidRPr="00E22010" w:rsidRDefault="00E22010" w:rsidP="00E22010">
      <w:pPr>
        <w:spacing w:after="0" w:line="360" w:lineRule="auto"/>
        <w:ind w:firstLine="425"/>
        <w:rPr>
          <w:rFonts w:ascii="Verdana" w:eastAsia="Times New Roman" w:hAnsi="Verdana" w:cs="Calibri"/>
          <w:b/>
          <w:color w:val="1F3864"/>
          <w:sz w:val="20"/>
          <w:szCs w:val="24"/>
          <w:lang w:eastAsia="el-GR"/>
        </w:rPr>
      </w:pPr>
    </w:p>
    <w:p w14:paraId="578651D2" w14:textId="77777777" w:rsidR="00E22010" w:rsidRPr="00E22010" w:rsidRDefault="00E22010" w:rsidP="00F3325A">
      <w:pPr>
        <w:spacing w:after="0" w:line="360" w:lineRule="auto"/>
        <w:jc w:val="both"/>
        <w:rPr>
          <w:rFonts w:ascii="Verdana" w:eastAsia="Times New Roman" w:hAnsi="Verdana" w:cs="Calibri"/>
          <w:b/>
          <w:color w:val="1F3864"/>
          <w:sz w:val="20"/>
          <w:szCs w:val="24"/>
          <w:lang w:eastAsia="el-GR"/>
        </w:rPr>
      </w:pPr>
      <w:r w:rsidRPr="00E22010">
        <w:rPr>
          <w:rFonts w:ascii="Verdana" w:eastAsia="Times New Roman" w:hAnsi="Verdana" w:cs="Calibri"/>
          <w:b/>
          <w:color w:val="1F3864"/>
          <w:sz w:val="20"/>
          <w:szCs w:val="24"/>
          <w:lang w:eastAsia="el-GR"/>
        </w:rPr>
        <w:t>Join ICAP @ Social Media</w:t>
      </w:r>
    </w:p>
    <w:p w14:paraId="56FDC2E0" w14:textId="0D8D5FA9" w:rsidR="00E22010" w:rsidRPr="00E22010" w:rsidRDefault="00E22010" w:rsidP="00F3325A">
      <w:pPr>
        <w:spacing w:after="0" w:line="360" w:lineRule="auto"/>
        <w:rPr>
          <w:rFonts w:ascii="Verdana" w:eastAsia="Times New Roman" w:hAnsi="Verdana" w:cs="Calibri"/>
          <w:b/>
          <w:color w:val="1F3864"/>
          <w:sz w:val="20"/>
          <w:szCs w:val="24"/>
          <w:lang w:eastAsia="el-GR"/>
        </w:rPr>
      </w:pPr>
      <w:r w:rsidRPr="00E22010">
        <w:rPr>
          <w:rFonts w:ascii="Verdana" w:eastAsia="Times New Roman" w:hAnsi="Verdana" w:cs="Calibri"/>
          <w:b/>
          <w:noProof/>
          <w:color w:val="1F3864"/>
          <w:sz w:val="20"/>
          <w:szCs w:val="24"/>
          <w:lang w:val="el-GR" w:eastAsia="el-GR"/>
        </w:rPr>
        <w:drawing>
          <wp:inline distT="0" distB="0" distL="0" distR="0" wp14:anchorId="3F623C1E" wp14:editId="49081826">
            <wp:extent cx="1637665" cy="302260"/>
            <wp:effectExtent l="0" t="0" r="635" b="2540"/>
            <wp:docPr id="8" name="Picture 8" descr="LinkedIn_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kedIn_but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10">
        <w:rPr>
          <w:rFonts w:ascii="Verdana" w:eastAsia="Times New Roman" w:hAnsi="Verdana" w:cs="Calibri"/>
          <w:b/>
          <w:color w:val="1F3864"/>
          <w:sz w:val="20"/>
          <w:szCs w:val="24"/>
          <w:lang w:eastAsia="el-GR"/>
        </w:rPr>
        <w:t xml:space="preserve">  </w:t>
      </w:r>
      <w:r w:rsidRPr="00E22010">
        <w:rPr>
          <w:rFonts w:ascii="Verdana" w:eastAsia="Times New Roman" w:hAnsi="Verdana" w:cs="Calibri"/>
          <w:b/>
          <w:noProof/>
          <w:color w:val="1F3864"/>
          <w:sz w:val="20"/>
          <w:szCs w:val="24"/>
          <w:lang w:val="el-GR" w:eastAsia="el-GR"/>
        </w:rPr>
        <w:drawing>
          <wp:inline distT="0" distB="0" distL="0" distR="0" wp14:anchorId="0F35D7E4" wp14:editId="13E1A65E">
            <wp:extent cx="1645920" cy="302260"/>
            <wp:effectExtent l="0" t="0" r="0" b="2540"/>
            <wp:docPr id="5" name="Picture 5" descr="FB_butt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_butt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10">
        <w:rPr>
          <w:rFonts w:ascii="Verdana" w:eastAsia="Times New Roman" w:hAnsi="Verdana" w:cs="Calibri"/>
          <w:b/>
          <w:color w:val="1F3864"/>
          <w:sz w:val="20"/>
          <w:szCs w:val="24"/>
          <w:lang w:eastAsia="el-GR"/>
        </w:rPr>
        <w:t xml:space="preserve"> </w:t>
      </w:r>
      <w:hyperlink r:id="rId15" w:history="1">
        <w:r w:rsidRPr="00E22010">
          <w:rPr>
            <w:rFonts w:ascii="Verdana" w:eastAsia="Times New Roman" w:hAnsi="Verdana" w:cs="Times New Roman"/>
            <w:sz w:val="20"/>
            <w:szCs w:val="24"/>
            <w:lang w:val="en-GB"/>
          </w:rPr>
          <w:t xml:space="preserve"> </w:t>
        </w:r>
        <w:r w:rsidRPr="00E22010">
          <w:rPr>
            <w:rFonts w:ascii="Verdana" w:eastAsia="Times New Roman" w:hAnsi="Verdana" w:cs="Calibri"/>
            <w:b/>
            <w:noProof/>
            <w:color w:val="1F3864"/>
            <w:sz w:val="20"/>
            <w:szCs w:val="24"/>
            <w:lang w:val="el-GR" w:eastAsia="el-GR"/>
          </w:rPr>
          <w:drawing>
            <wp:inline distT="0" distB="0" distL="0" distR="0" wp14:anchorId="1FA800F3" wp14:editId="413CE6CD">
              <wp:extent cx="1065530" cy="302260"/>
              <wp:effectExtent l="0" t="0" r="1270" b="2540"/>
              <wp:docPr id="4" name="Picture 4" descr="Youtube_butt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outube_button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53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6029E031" w14:textId="77777777" w:rsidR="00E22010" w:rsidRPr="00E22010" w:rsidRDefault="00E22010" w:rsidP="00E22010">
      <w:pPr>
        <w:spacing w:after="0" w:line="360" w:lineRule="auto"/>
        <w:ind w:firstLine="425"/>
        <w:jc w:val="both"/>
        <w:rPr>
          <w:rFonts w:ascii="Verdana" w:eastAsia="Times New Roman" w:hAnsi="Verdana" w:cs="Calibri"/>
          <w:sz w:val="20"/>
          <w:szCs w:val="24"/>
          <w:lang w:eastAsia="el-GR"/>
        </w:rPr>
      </w:pPr>
    </w:p>
    <w:p w14:paraId="418AA951" w14:textId="77777777" w:rsidR="00E22010" w:rsidRPr="00E22010" w:rsidRDefault="00E22010" w:rsidP="00E22010">
      <w:pPr>
        <w:spacing w:after="0" w:line="360" w:lineRule="auto"/>
        <w:ind w:firstLine="720"/>
        <w:jc w:val="both"/>
        <w:rPr>
          <w:rFonts w:ascii="Verdana" w:eastAsia="Times New Roman" w:hAnsi="Verdana" w:cs="Arial"/>
          <w:sz w:val="20"/>
          <w:lang w:val="el-GR"/>
        </w:rPr>
      </w:pPr>
    </w:p>
    <w:p w14:paraId="7F8E6961" w14:textId="77777777" w:rsidR="00E22010" w:rsidRPr="00E22010" w:rsidRDefault="00E22010" w:rsidP="00E22010">
      <w:pPr>
        <w:spacing w:after="0" w:line="360" w:lineRule="auto"/>
        <w:jc w:val="both"/>
        <w:rPr>
          <w:rFonts w:ascii="Verdana" w:eastAsia="Times New Roman" w:hAnsi="Verdana" w:cs="Times New Roman"/>
          <w:color w:val="FF0000"/>
          <w:sz w:val="20"/>
          <w:szCs w:val="24"/>
          <w:lang w:val="el-GR"/>
        </w:rPr>
      </w:pPr>
    </w:p>
    <w:p w14:paraId="7A3E2025" w14:textId="77777777" w:rsidR="00E86F73" w:rsidRDefault="00E86F73" w:rsidP="00A84E51">
      <w:pPr>
        <w:pStyle w:val="a"/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</w:p>
    <w:p w14:paraId="18D6739A" w14:textId="77777777" w:rsidR="00A84E51" w:rsidRPr="002B5496" w:rsidRDefault="00A84E51" w:rsidP="00A84E51">
      <w:pPr>
        <w:pStyle w:val="a"/>
        <w:spacing w:line="360" w:lineRule="auto"/>
        <w:ind w:firstLine="720"/>
        <w:jc w:val="both"/>
        <w:rPr>
          <w:rFonts w:ascii="Tahoma" w:hAnsi="Tahoma" w:cs="Tahoma"/>
          <w:sz w:val="22"/>
          <w:szCs w:val="22"/>
          <w:lang w:val="el-GR"/>
        </w:rPr>
      </w:pPr>
    </w:p>
    <w:p w14:paraId="3D417FB7" w14:textId="77777777" w:rsidR="00630090" w:rsidRPr="00850496" w:rsidRDefault="00630090">
      <w:pPr>
        <w:rPr>
          <w:lang w:val="el-GR"/>
        </w:rPr>
      </w:pPr>
    </w:p>
    <w:sectPr w:rsidR="00630090" w:rsidRPr="00850496" w:rsidSect="00F524C2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4BD1" w14:textId="77777777" w:rsidR="0008048B" w:rsidRDefault="0008048B" w:rsidP="00220204">
      <w:pPr>
        <w:spacing w:after="0" w:line="240" w:lineRule="auto"/>
      </w:pPr>
      <w:r>
        <w:separator/>
      </w:r>
    </w:p>
  </w:endnote>
  <w:endnote w:type="continuationSeparator" w:id="0">
    <w:p w14:paraId="6469FA6E" w14:textId="77777777" w:rsidR="0008048B" w:rsidRDefault="0008048B" w:rsidP="0022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32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A7794" w14:textId="253001CA" w:rsidR="0044033B" w:rsidRDefault="004403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48075" w14:textId="77777777" w:rsidR="0044033B" w:rsidRDefault="0044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B02A" w14:textId="2AE58779" w:rsidR="00F524C2" w:rsidRPr="00F524C2" w:rsidRDefault="00F524C2" w:rsidP="00F524C2">
    <w:pPr>
      <w:tabs>
        <w:tab w:val="left" w:pos="851"/>
        <w:tab w:val="center" w:pos="3969"/>
        <w:tab w:val="center" w:pos="4153"/>
        <w:tab w:val="left" w:pos="4820"/>
        <w:tab w:val="right" w:pos="8306"/>
      </w:tabs>
      <w:spacing w:after="0" w:line="240" w:lineRule="auto"/>
      <w:rPr>
        <w:rFonts w:ascii="Arial" w:hAnsi="Arial"/>
        <w:b/>
        <w:color w:val="808080"/>
        <w:sz w:val="16"/>
        <w:szCs w:val="16"/>
        <w:lang w:val="el-GR"/>
      </w:rPr>
    </w:pPr>
    <w:r w:rsidRPr="001E30C5">
      <w:rPr>
        <w:rFonts w:ascii="Arial" w:hAnsi="Arial"/>
        <w:b/>
        <w:color w:val="808080"/>
        <w:sz w:val="16"/>
        <w:szCs w:val="16"/>
      </w:rPr>
      <w:t>ICAP</w:t>
    </w:r>
    <w:r w:rsidRPr="00F524C2">
      <w:rPr>
        <w:rFonts w:ascii="Arial" w:hAnsi="Arial"/>
        <w:b/>
        <w:color w:val="808080"/>
        <w:sz w:val="16"/>
        <w:szCs w:val="16"/>
        <w:lang w:val="el-GR"/>
      </w:rPr>
      <w:t xml:space="preserve"> </w:t>
    </w:r>
    <w:r w:rsidRPr="001E30C5">
      <w:rPr>
        <w:rFonts w:ascii="Arial" w:hAnsi="Arial"/>
        <w:b/>
        <w:color w:val="808080"/>
        <w:sz w:val="16"/>
        <w:szCs w:val="16"/>
      </w:rPr>
      <w:t>A</w:t>
    </w:r>
    <w:r w:rsidRPr="00F524C2">
      <w:rPr>
        <w:rFonts w:ascii="Arial" w:hAnsi="Arial"/>
        <w:b/>
        <w:color w:val="808080"/>
        <w:sz w:val="16"/>
        <w:szCs w:val="16"/>
        <w:lang w:val="el-GR"/>
      </w:rPr>
      <w:t>.</w:t>
    </w:r>
    <w:r w:rsidRPr="001E30C5">
      <w:rPr>
        <w:rFonts w:ascii="Arial" w:hAnsi="Arial"/>
        <w:b/>
        <w:color w:val="808080"/>
        <w:sz w:val="16"/>
        <w:szCs w:val="16"/>
      </w:rPr>
      <w:t>E</w:t>
    </w:r>
    <w:r w:rsidRPr="00F524C2">
      <w:rPr>
        <w:rFonts w:ascii="Arial" w:hAnsi="Arial"/>
        <w:b/>
        <w:color w:val="808080"/>
        <w:sz w:val="16"/>
        <w:szCs w:val="16"/>
        <w:lang w:val="el-GR"/>
      </w:rPr>
      <w:t>.</w:t>
    </w:r>
  </w:p>
  <w:p w14:paraId="2169FBA0" w14:textId="428AE647" w:rsidR="00F524C2" w:rsidRPr="00F524C2" w:rsidRDefault="002D2936" w:rsidP="00F524C2">
    <w:pPr>
      <w:tabs>
        <w:tab w:val="left" w:pos="851"/>
        <w:tab w:val="center" w:pos="3969"/>
        <w:tab w:val="center" w:pos="4153"/>
        <w:tab w:val="left" w:pos="4820"/>
        <w:tab w:val="right" w:pos="8306"/>
      </w:tabs>
      <w:spacing w:after="0" w:line="240" w:lineRule="auto"/>
      <w:rPr>
        <w:rFonts w:ascii="Arial" w:hAnsi="Arial"/>
        <w:b/>
        <w:color w:val="808080"/>
        <w:sz w:val="16"/>
        <w:szCs w:val="16"/>
        <w:lang w:val="el-GR"/>
      </w:rPr>
    </w:pPr>
    <w:r w:rsidRPr="002D2936">
      <w:rPr>
        <w:rFonts w:ascii="Arial" w:hAnsi="Arial"/>
        <w:b/>
        <w:noProof/>
        <w:color w:val="A6A6A6"/>
        <w:sz w:val="16"/>
        <w:szCs w:val="16"/>
      </w:rPr>
      <w:drawing>
        <wp:anchor distT="0" distB="0" distL="114300" distR="114300" simplePos="0" relativeHeight="251660288" behindDoc="0" locked="0" layoutInCell="1" allowOverlap="1" wp14:anchorId="13BC9A92" wp14:editId="77DF3D94">
          <wp:simplePos x="0" y="0"/>
          <wp:positionH relativeFrom="column">
            <wp:posOffset>5127625</wp:posOffset>
          </wp:positionH>
          <wp:positionV relativeFrom="paragraph">
            <wp:posOffset>106045</wp:posOffset>
          </wp:positionV>
          <wp:extent cx="481330" cy="481330"/>
          <wp:effectExtent l="0" t="0" r="0" b="0"/>
          <wp:wrapNone/>
          <wp:docPr id="464" name="Picture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936">
      <w:rPr>
        <w:rFonts w:ascii="Arial" w:hAnsi="Arial"/>
        <w:b/>
        <w:noProof/>
        <w:color w:val="A6A6A6"/>
        <w:sz w:val="16"/>
        <w:szCs w:val="16"/>
      </w:rPr>
      <w:drawing>
        <wp:anchor distT="0" distB="0" distL="114300" distR="114300" simplePos="0" relativeHeight="251659264" behindDoc="1" locked="0" layoutInCell="1" allowOverlap="1" wp14:anchorId="1FAA9B92" wp14:editId="04440074">
          <wp:simplePos x="0" y="0"/>
          <wp:positionH relativeFrom="column">
            <wp:posOffset>4476750</wp:posOffset>
          </wp:positionH>
          <wp:positionV relativeFrom="paragraph">
            <wp:posOffset>78105</wp:posOffset>
          </wp:positionV>
          <wp:extent cx="495300" cy="514350"/>
          <wp:effectExtent l="0" t="0" r="0" b="0"/>
          <wp:wrapTight wrapText="bothSides">
            <wp:wrapPolygon edited="0">
              <wp:start x="0" y="0"/>
              <wp:lineTo x="0" y="20800"/>
              <wp:lineTo x="20769" y="20800"/>
              <wp:lineTo x="20769" y="0"/>
              <wp:lineTo x="0" y="0"/>
            </wp:wrapPolygon>
          </wp:wrapTight>
          <wp:docPr id="465" name="Picture 465" descr="ISO9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ISO9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4C2" w:rsidRPr="00F524C2">
      <w:rPr>
        <w:rFonts w:ascii="Arial" w:hAnsi="Arial"/>
        <w:b/>
        <w:color w:val="808080"/>
        <w:sz w:val="16"/>
        <w:szCs w:val="16"/>
        <w:lang w:val="el-GR"/>
      </w:rPr>
      <w:t>Επιχειρηματική Πληροφόρηση, Σύμβουλοι Διοίκησης και Υπηρεσίες προς Επιχειρήσεις</w:t>
    </w:r>
  </w:p>
  <w:p w14:paraId="79E6DDB9" w14:textId="5254CBDF" w:rsidR="00F524C2" w:rsidRPr="00F524C2" w:rsidRDefault="00F524C2" w:rsidP="00F524C2">
    <w:pPr>
      <w:tabs>
        <w:tab w:val="left" w:pos="851"/>
        <w:tab w:val="center" w:pos="3969"/>
        <w:tab w:val="center" w:pos="4153"/>
        <w:tab w:val="left" w:pos="4820"/>
        <w:tab w:val="right" w:pos="8306"/>
      </w:tabs>
      <w:spacing w:after="0" w:line="240" w:lineRule="auto"/>
      <w:rPr>
        <w:rFonts w:ascii="Arial" w:hAnsi="Arial"/>
        <w:b/>
        <w:color w:val="A6A6A6"/>
        <w:sz w:val="16"/>
        <w:szCs w:val="16"/>
        <w:lang w:val="el-GR"/>
      </w:rPr>
    </w:pPr>
    <w:r w:rsidRPr="00F524C2">
      <w:rPr>
        <w:rFonts w:ascii="Arial" w:hAnsi="Arial"/>
        <w:b/>
        <w:color w:val="A6A6A6"/>
        <w:sz w:val="16"/>
        <w:szCs w:val="16"/>
        <w:lang w:val="el-GR"/>
      </w:rPr>
      <w:t>Γραφείο Τύπου</w:t>
    </w:r>
  </w:p>
  <w:p w14:paraId="28D4EFAE" w14:textId="39B25191" w:rsidR="00F524C2" w:rsidRPr="00F524C2" w:rsidRDefault="00F524C2" w:rsidP="00F524C2">
    <w:pPr>
      <w:tabs>
        <w:tab w:val="left" w:pos="851"/>
        <w:tab w:val="center" w:pos="3969"/>
        <w:tab w:val="center" w:pos="4153"/>
        <w:tab w:val="left" w:pos="4820"/>
        <w:tab w:val="right" w:pos="8306"/>
      </w:tabs>
      <w:spacing w:after="0" w:line="240" w:lineRule="auto"/>
      <w:rPr>
        <w:rFonts w:ascii="Arial" w:hAnsi="Arial"/>
        <w:b/>
        <w:color w:val="A6A6A6"/>
        <w:sz w:val="16"/>
        <w:szCs w:val="16"/>
        <w:lang w:val="el-GR"/>
      </w:rPr>
    </w:pPr>
    <w:r w:rsidRPr="00F524C2">
      <w:rPr>
        <w:rFonts w:ascii="Arial" w:hAnsi="Arial"/>
        <w:b/>
        <w:color w:val="A6A6A6"/>
        <w:sz w:val="16"/>
        <w:szCs w:val="16"/>
        <w:lang w:val="el-GR"/>
      </w:rPr>
      <w:t>Λεωφόρος Ελευθερίου Βενιζέλου 2, 176 76 Καλλιθέα, Αθήνα</w:t>
    </w:r>
  </w:p>
  <w:p w14:paraId="0BFBA83A" w14:textId="67F79104" w:rsidR="00F524C2" w:rsidRPr="001E30C5" w:rsidRDefault="00F524C2" w:rsidP="00F524C2">
    <w:pPr>
      <w:tabs>
        <w:tab w:val="left" w:pos="851"/>
        <w:tab w:val="center" w:pos="3969"/>
        <w:tab w:val="center" w:pos="4153"/>
        <w:tab w:val="left" w:pos="4820"/>
        <w:tab w:val="right" w:pos="8306"/>
      </w:tabs>
      <w:spacing w:after="0" w:line="240" w:lineRule="auto"/>
      <w:rPr>
        <w:rFonts w:ascii="Arial" w:hAnsi="Arial"/>
        <w:b/>
        <w:color w:val="A6A6A6"/>
        <w:sz w:val="16"/>
        <w:szCs w:val="16"/>
      </w:rPr>
    </w:pPr>
    <w:proofErr w:type="spellStart"/>
    <w:r w:rsidRPr="001E30C5">
      <w:rPr>
        <w:rFonts w:ascii="Arial" w:hAnsi="Arial"/>
        <w:b/>
        <w:color w:val="A6A6A6"/>
        <w:sz w:val="16"/>
        <w:szCs w:val="16"/>
      </w:rPr>
      <w:t>Τηλ</w:t>
    </w:r>
    <w:proofErr w:type="spellEnd"/>
    <w:r w:rsidRPr="001E30C5">
      <w:rPr>
        <w:rFonts w:ascii="Arial" w:hAnsi="Arial"/>
        <w:b/>
        <w:color w:val="A6A6A6"/>
        <w:sz w:val="16"/>
        <w:szCs w:val="16"/>
      </w:rPr>
      <w:t>: 210 7200 495, e-mail: pr@icap.gr, web: www.icap.gr</w:t>
    </w:r>
  </w:p>
  <w:p w14:paraId="1524B1E7" w14:textId="663B5CCA" w:rsidR="00F524C2" w:rsidRPr="00F524C2" w:rsidRDefault="00F5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1766" w14:textId="77777777" w:rsidR="0008048B" w:rsidRDefault="0008048B" w:rsidP="00220204">
      <w:pPr>
        <w:spacing w:after="0" w:line="240" w:lineRule="auto"/>
      </w:pPr>
      <w:r>
        <w:separator/>
      </w:r>
    </w:p>
  </w:footnote>
  <w:footnote w:type="continuationSeparator" w:id="0">
    <w:p w14:paraId="4EBC82CA" w14:textId="77777777" w:rsidR="0008048B" w:rsidRDefault="0008048B" w:rsidP="0022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C20E" w14:textId="669FD700" w:rsidR="00F524C2" w:rsidRDefault="0052226F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080999" wp14:editId="0B744604">
          <wp:simplePos x="0" y="0"/>
          <wp:positionH relativeFrom="character">
            <wp:posOffset>-295275</wp:posOffset>
          </wp:positionH>
          <wp:positionV relativeFrom="line">
            <wp:posOffset>-181610</wp:posOffset>
          </wp:positionV>
          <wp:extent cx="923290" cy="1062355"/>
          <wp:effectExtent l="0" t="0" r="0" b="4445"/>
          <wp:wrapNone/>
          <wp:docPr id="463" name="Picture 463" descr="I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63" t="9492" r="40477" b="52908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6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93A74"/>
    <w:multiLevelType w:val="hybridMultilevel"/>
    <w:tmpl w:val="675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4D"/>
    <w:rsid w:val="00004B30"/>
    <w:rsid w:val="0001341A"/>
    <w:rsid w:val="000250C6"/>
    <w:rsid w:val="00041567"/>
    <w:rsid w:val="00074EF8"/>
    <w:rsid w:val="0008048B"/>
    <w:rsid w:val="000E2488"/>
    <w:rsid w:val="000E70ED"/>
    <w:rsid w:val="001041D5"/>
    <w:rsid w:val="00111CA6"/>
    <w:rsid w:val="001265CA"/>
    <w:rsid w:val="00143FAA"/>
    <w:rsid w:val="001537C1"/>
    <w:rsid w:val="00166F3B"/>
    <w:rsid w:val="00174869"/>
    <w:rsid w:val="001C3195"/>
    <w:rsid w:val="001D5E03"/>
    <w:rsid w:val="00211B09"/>
    <w:rsid w:val="00220204"/>
    <w:rsid w:val="0023219A"/>
    <w:rsid w:val="00246C00"/>
    <w:rsid w:val="002474F6"/>
    <w:rsid w:val="00247DBB"/>
    <w:rsid w:val="00253948"/>
    <w:rsid w:val="002A2A04"/>
    <w:rsid w:val="002B0E83"/>
    <w:rsid w:val="002B5496"/>
    <w:rsid w:val="002D2936"/>
    <w:rsid w:val="002D77F6"/>
    <w:rsid w:val="00314357"/>
    <w:rsid w:val="00360DB7"/>
    <w:rsid w:val="003649DA"/>
    <w:rsid w:val="003A120B"/>
    <w:rsid w:val="003A22FD"/>
    <w:rsid w:val="003D2EE1"/>
    <w:rsid w:val="003E0496"/>
    <w:rsid w:val="003E0B19"/>
    <w:rsid w:val="003F6533"/>
    <w:rsid w:val="00400913"/>
    <w:rsid w:val="00437C08"/>
    <w:rsid w:val="0044033B"/>
    <w:rsid w:val="00447F2A"/>
    <w:rsid w:val="0045118D"/>
    <w:rsid w:val="00457745"/>
    <w:rsid w:val="004A1B13"/>
    <w:rsid w:val="00512729"/>
    <w:rsid w:val="0052226F"/>
    <w:rsid w:val="00541990"/>
    <w:rsid w:val="005539B2"/>
    <w:rsid w:val="005746BA"/>
    <w:rsid w:val="00581EC1"/>
    <w:rsid w:val="005B4FFE"/>
    <w:rsid w:val="005B6F6F"/>
    <w:rsid w:val="005D5BF5"/>
    <w:rsid w:val="005D6326"/>
    <w:rsid w:val="005E2A5F"/>
    <w:rsid w:val="005E4FF5"/>
    <w:rsid w:val="005F0893"/>
    <w:rsid w:val="00607467"/>
    <w:rsid w:val="00630090"/>
    <w:rsid w:val="00670CDB"/>
    <w:rsid w:val="006820F1"/>
    <w:rsid w:val="00693E85"/>
    <w:rsid w:val="0070328D"/>
    <w:rsid w:val="007175B9"/>
    <w:rsid w:val="00721C31"/>
    <w:rsid w:val="007314DB"/>
    <w:rsid w:val="007357A1"/>
    <w:rsid w:val="00745B58"/>
    <w:rsid w:val="007547C9"/>
    <w:rsid w:val="0078172D"/>
    <w:rsid w:val="00790030"/>
    <w:rsid w:val="0079216D"/>
    <w:rsid w:val="00795388"/>
    <w:rsid w:val="007A5074"/>
    <w:rsid w:val="007B4CB2"/>
    <w:rsid w:val="007C0073"/>
    <w:rsid w:val="00801557"/>
    <w:rsid w:val="00810554"/>
    <w:rsid w:val="00850496"/>
    <w:rsid w:val="0086473C"/>
    <w:rsid w:val="0087078A"/>
    <w:rsid w:val="008A6B64"/>
    <w:rsid w:val="008A6F0B"/>
    <w:rsid w:val="008B41CB"/>
    <w:rsid w:val="008B46EF"/>
    <w:rsid w:val="008B59A8"/>
    <w:rsid w:val="008C0C3C"/>
    <w:rsid w:val="008C2808"/>
    <w:rsid w:val="008D55F1"/>
    <w:rsid w:val="008F2A2C"/>
    <w:rsid w:val="00943449"/>
    <w:rsid w:val="00962DBB"/>
    <w:rsid w:val="0096579A"/>
    <w:rsid w:val="009A3B14"/>
    <w:rsid w:val="009B0826"/>
    <w:rsid w:val="009B48F2"/>
    <w:rsid w:val="009C1378"/>
    <w:rsid w:val="009E15F9"/>
    <w:rsid w:val="00A10EA0"/>
    <w:rsid w:val="00A31236"/>
    <w:rsid w:val="00A3597F"/>
    <w:rsid w:val="00A60137"/>
    <w:rsid w:val="00A626D8"/>
    <w:rsid w:val="00A662FC"/>
    <w:rsid w:val="00A84E51"/>
    <w:rsid w:val="00A86FDD"/>
    <w:rsid w:val="00AA2BBD"/>
    <w:rsid w:val="00AA4262"/>
    <w:rsid w:val="00AF02E3"/>
    <w:rsid w:val="00AF2EA0"/>
    <w:rsid w:val="00AF361B"/>
    <w:rsid w:val="00AF6E87"/>
    <w:rsid w:val="00B22A36"/>
    <w:rsid w:val="00B64E4D"/>
    <w:rsid w:val="00B8077B"/>
    <w:rsid w:val="00B93F5B"/>
    <w:rsid w:val="00BB7C77"/>
    <w:rsid w:val="00BF13F3"/>
    <w:rsid w:val="00C011DD"/>
    <w:rsid w:val="00C156C7"/>
    <w:rsid w:val="00C24352"/>
    <w:rsid w:val="00C36335"/>
    <w:rsid w:val="00C47BC7"/>
    <w:rsid w:val="00C60BAE"/>
    <w:rsid w:val="00C668CB"/>
    <w:rsid w:val="00C92211"/>
    <w:rsid w:val="00C92930"/>
    <w:rsid w:val="00CC0657"/>
    <w:rsid w:val="00CD284D"/>
    <w:rsid w:val="00D0590D"/>
    <w:rsid w:val="00D264DF"/>
    <w:rsid w:val="00D37FD7"/>
    <w:rsid w:val="00D634F5"/>
    <w:rsid w:val="00DA3956"/>
    <w:rsid w:val="00DE0025"/>
    <w:rsid w:val="00E040BF"/>
    <w:rsid w:val="00E103DB"/>
    <w:rsid w:val="00E22010"/>
    <w:rsid w:val="00E249A9"/>
    <w:rsid w:val="00E26754"/>
    <w:rsid w:val="00E35834"/>
    <w:rsid w:val="00E44D9B"/>
    <w:rsid w:val="00E83F36"/>
    <w:rsid w:val="00E86F73"/>
    <w:rsid w:val="00E93178"/>
    <w:rsid w:val="00E9533B"/>
    <w:rsid w:val="00EB0715"/>
    <w:rsid w:val="00EB125D"/>
    <w:rsid w:val="00EE65A2"/>
    <w:rsid w:val="00EF6A1C"/>
    <w:rsid w:val="00F3294D"/>
    <w:rsid w:val="00F3325A"/>
    <w:rsid w:val="00F43998"/>
    <w:rsid w:val="00F524C2"/>
    <w:rsid w:val="00F54B3E"/>
    <w:rsid w:val="00FA50C5"/>
    <w:rsid w:val="00FB2943"/>
    <w:rsid w:val="00FB469F"/>
    <w:rsid w:val="00FF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92287D"/>
  <w15:chartTrackingRefBased/>
  <w15:docId w15:val="{08AD4310-176B-4BCF-AA12-2FCDBBA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ΙΜΕΝΟ"/>
    <w:basedOn w:val="Normal"/>
    <w:link w:val="Char"/>
    <w:qFormat/>
    <w:rsid w:val="00850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ΚΕΙΜΕΝΟ Char"/>
    <w:basedOn w:val="DefaultParagraphFont"/>
    <w:link w:val="a"/>
    <w:qFormat/>
    <w:rsid w:val="008504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aliases w:val="Κανονικό (Web) Char Char"/>
    <w:basedOn w:val="Normal"/>
    <w:link w:val="NormalWebChar"/>
    <w:qFormat/>
    <w:rsid w:val="00C24352"/>
    <w:pPr>
      <w:spacing w:after="0" w:line="240" w:lineRule="auto"/>
      <w:jc w:val="center"/>
    </w:pPr>
    <w:rPr>
      <w:rFonts w:ascii="Tahoma" w:eastAsia="Arial Unicode MS" w:hAnsi="Tahoma" w:cs="Arial Unicode MS"/>
      <w:b/>
      <w:color w:val="000000"/>
      <w:w w:val="95"/>
      <w:sz w:val="21"/>
      <w:szCs w:val="21"/>
      <w:lang w:val="el-GR"/>
    </w:rPr>
  </w:style>
  <w:style w:type="paragraph" w:customStyle="1" w:styleId="2014">
    <w:name w:val="2014 ΔΙΑΓΡΑΜΜΑ"/>
    <w:basedOn w:val="Normal"/>
    <w:qFormat/>
    <w:rsid w:val="00C24352"/>
    <w:pPr>
      <w:shd w:val="clear" w:color="auto" w:fill="0070C0"/>
      <w:spacing w:after="0" w:line="240" w:lineRule="auto"/>
      <w:jc w:val="center"/>
    </w:pPr>
    <w:rPr>
      <w:rFonts w:ascii="Tahoma" w:eastAsia="Calibri" w:hAnsi="Tahoma" w:cs="Tahoma"/>
      <w:b/>
      <w:color w:val="FFFFFF"/>
      <w:w w:val="95"/>
      <w:sz w:val="20"/>
      <w:szCs w:val="18"/>
      <w:lang w:val="el-GR"/>
    </w:rPr>
  </w:style>
  <w:style w:type="character" w:customStyle="1" w:styleId="NormalWebChar">
    <w:name w:val="Normal (Web) Char"/>
    <w:aliases w:val="Κανονικό (Web) Char Char Char"/>
    <w:basedOn w:val="DefaultParagraphFont"/>
    <w:link w:val="NormalWeb"/>
    <w:rsid w:val="00C24352"/>
    <w:rPr>
      <w:rFonts w:ascii="Tahoma" w:eastAsia="Arial Unicode MS" w:hAnsi="Tahoma" w:cs="Arial Unicode MS"/>
      <w:b/>
      <w:color w:val="000000"/>
      <w:w w:val="95"/>
      <w:sz w:val="21"/>
      <w:szCs w:val="21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20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04"/>
  </w:style>
  <w:style w:type="paragraph" w:styleId="Footer">
    <w:name w:val="footer"/>
    <w:basedOn w:val="Normal"/>
    <w:link w:val="FooterChar"/>
    <w:uiPriority w:val="99"/>
    <w:unhideWhenUsed/>
    <w:rsid w:val="00220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04"/>
  </w:style>
  <w:style w:type="character" w:styleId="Hyperlink">
    <w:name w:val="Hyperlink"/>
    <w:rsid w:val="00E953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03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.icap.gr/mailimages/PressReleases/photos%20meletes/N.Konstantellos1.jpg" TargetMode="External"/><Relationship Id="rId13" Type="http://schemas.openxmlformats.org/officeDocument/2006/relationships/hyperlink" Target="https://www.facebook.com/ICAPGROUPG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cap.gr/Default.aspx?id=929&amp;nt=19&amp;lang=1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icap-grou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icapgroup" TargetMode="External"/><Relationship Id="rId10" Type="http://schemas.openxmlformats.org/officeDocument/2006/relationships/hyperlink" Target="https://bit.ly/2BSRUU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icap.gr/" TargetMode="Externa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tavoularis</dc:creator>
  <cp:keywords/>
  <dc:description/>
  <cp:lastModifiedBy>Kalemis Constantinos</cp:lastModifiedBy>
  <cp:revision>45</cp:revision>
  <dcterms:created xsi:type="dcterms:W3CDTF">2020-06-11T08:51:00Z</dcterms:created>
  <dcterms:modified xsi:type="dcterms:W3CDTF">2020-07-01T10:14:00Z</dcterms:modified>
</cp:coreProperties>
</file>