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3F" w:rsidRPr="00311BEE" w:rsidRDefault="00311BEE" w:rsidP="00311BEE">
      <w:pPr>
        <w:pStyle w:val="a"/>
        <w:spacing w:line="360" w:lineRule="auto"/>
        <w:jc w:val="right"/>
        <w:outlineLvl w:val="0"/>
        <w:rPr>
          <w:rFonts w:ascii="PF Textbook Light" w:hAnsi="PF Textbook Light" w:cs="Arial"/>
          <w:b w:val="0"/>
          <w:szCs w:val="22"/>
          <w:lang w:val="el-GR"/>
        </w:rPr>
      </w:pPr>
      <w:r w:rsidRPr="00311BEE">
        <w:rPr>
          <w:rFonts w:ascii="PF Textbook Light" w:hAnsi="PF Textbook Light" w:cs="Arial"/>
          <w:b w:val="0"/>
          <w:szCs w:val="22"/>
          <w:lang w:val="el-GR"/>
        </w:rPr>
        <w:t>Αθήνα, 2 Αυγούστου</w:t>
      </w:r>
      <w:r w:rsidR="00C92C3F" w:rsidRPr="00311BEE">
        <w:rPr>
          <w:rFonts w:ascii="PF Textbook Light" w:hAnsi="PF Textbook Light" w:cs="Arial"/>
          <w:b w:val="0"/>
          <w:szCs w:val="22"/>
          <w:lang w:val="el-GR"/>
        </w:rPr>
        <w:t xml:space="preserve"> 2018</w:t>
      </w:r>
    </w:p>
    <w:p w:rsidR="00385B4E" w:rsidRPr="006C09FD" w:rsidRDefault="00385B4E" w:rsidP="007D18DF">
      <w:pPr>
        <w:spacing w:line="360" w:lineRule="auto"/>
        <w:jc w:val="center"/>
        <w:outlineLvl w:val="0"/>
        <w:rPr>
          <w:rFonts w:ascii="Tahoma" w:hAnsi="Tahoma" w:cs="Tahoma"/>
          <w:b/>
          <w:lang w:val="el-GR"/>
        </w:rPr>
      </w:pPr>
      <w:r w:rsidRPr="006C09FD">
        <w:rPr>
          <w:rFonts w:ascii="Tahoma" w:hAnsi="Tahoma" w:cs="Tahoma"/>
          <w:b/>
          <w:lang w:val="el-GR"/>
        </w:rPr>
        <w:t>ΔΕΛΤΙΟ ΤΥΠΟΥ</w:t>
      </w:r>
    </w:p>
    <w:p w:rsidR="00822C50" w:rsidRPr="00822C50" w:rsidRDefault="00822C50" w:rsidP="007D18DF">
      <w:pPr>
        <w:pStyle w:val="NormalWeb"/>
        <w:spacing w:line="360" w:lineRule="auto"/>
        <w:rPr>
          <w:lang w:val="el-GR"/>
        </w:rPr>
      </w:pPr>
    </w:p>
    <w:p w:rsidR="00D427A1" w:rsidRPr="00B54DF8" w:rsidRDefault="006134F7" w:rsidP="007D18DF">
      <w:pPr>
        <w:pStyle w:val="BodyText"/>
        <w:spacing w:line="360" w:lineRule="auto"/>
        <w:ind w:firstLine="240"/>
        <w:jc w:val="center"/>
        <w:rPr>
          <w:rFonts w:ascii="Tahoma" w:hAnsi="Tahoma" w:cs="Tahoma"/>
          <w:b/>
          <w:szCs w:val="22"/>
          <w:lang w:val="el-GR"/>
        </w:rPr>
      </w:pPr>
      <w:r>
        <w:rPr>
          <w:rFonts w:ascii="Tahoma" w:hAnsi="Tahoma" w:cs="Tahoma"/>
          <w:b/>
          <w:szCs w:val="22"/>
          <w:lang w:val="el-GR"/>
        </w:rPr>
        <w:t>Σε πορεία ανάκαμψης ο</w:t>
      </w:r>
      <w:r w:rsidR="00B54DF8">
        <w:rPr>
          <w:rFonts w:ascii="Tahoma" w:hAnsi="Tahoma" w:cs="Tahoma"/>
          <w:b/>
          <w:szCs w:val="22"/>
          <w:lang w:val="el-GR"/>
        </w:rPr>
        <w:t>ι</w:t>
      </w:r>
      <w:r>
        <w:rPr>
          <w:rFonts w:ascii="Tahoma" w:hAnsi="Tahoma" w:cs="Tahoma"/>
          <w:b/>
          <w:szCs w:val="22"/>
          <w:lang w:val="el-GR"/>
        </w:rPr>
        <w:t xml:space="preserve"> </w:t>
      </w:r>
      <w:r w:rsidR="00B54DF8">
        <w:rPr>
          <w:rFonts w:ascii="Tahoma" w:hAnsi="Tahoma" w:cs="Tahoma"/>
          <w:b/>
          <w:szCs w:val="22"/>
          <w:lang w:val="el-GR"/>
        </w:rPr>
        <w:t>κλάδοι</w:t>
      </w:r>
      <w:r w:rsidR="00E52C3D">
        <w:rPr>
          <w:rFonts w:ascii="Tahoma" w:hAnsi="Tahoma" w:cs="Tahoma"/>
          <w:b/>
          <w:szCs w:val="22"/>
          <w:lang w:val="el-GR"/>
        </w:rPr>
        <w:t xml:space="preserve"> των Ιδιωτικών Υπηρεσιών </w:t>
      </w:r>
      <w:r w:rsidR="00B54DF8">
        <w:rPr>
          <w:rFonts w:ascii="Tahoma" w:hAnsi="Tahoma" w:cs="Tahoma"/>
          <w:b/>
          <w:szCs w:val="22"/>
          <w:lang w:val="el-GR"/>
        </w:rPr>
        <w:t>και των Ηλεκτρονικών Συστημάτων Ασφαλείας</w:t>
      </w:r>
    </w:p>
    <w:p w:rsidR="00A626F7" w:rsidRDefault="00A626F7" w:rsidP="007D18DF">
      <w:pPr>
        <w:pStyle w:val="BodyText"/>
        <w:spacing w:line="360" w:lineRule="auto"/>
        <w:ind w:firstLine="240"/>
        <w:rPr>
          <w:rFonts w:ascii="Tahoma" w:hAnsi="Tahoma" w:cs="Tahoma"/>
          <w:b/>
          <w:szCs w:val="22"/>
          <w:lang w:val="el-GR"/>
        </w:rPr>
      </w:pPr>
    </w:p>
    <w:p w:rsidR="00BA1D66" w:rsidRDefault="00B96A27" w:rsidP="006134F7">
      <w:pPr>
        <w:pStyle w:val="BodyText"/>
        <w:numPr>
          <w:ilvl w:val="0"/>
          <w:numId w:val="9"/>
        </w:numPr>
        <w:spacing w:line="360" w:lineRule="auto"/>
        <w:rPr>
          <w:rFonts w:ascii="Tahoma" w:hAnsi="Tahoma" w:cs="Tahoma"/>
          <w:i/>
          <w:szCs w:val="22"/>
          <w:lang w:val="el-GR"/>
        </w:rPr>
      </w:pPr>
      <w:r w:rsidRPr="007A1647">
        <w:rPr>
          <w:rFonts w:ascii="Tahoma" w:hAnsi="Tahoma" w:cs="Tahoma"/>
          <w:i/>
          <w:szCs w:val="22"/>
          <w:lang w:val="el-GR"/>
        </w:rPr>
        <w:t xml:space="preserve">Σε πορεία </w:t>
      </w:r>
      <w:r w:rsidRPr="00743BD2">
        <w:rPr>
          <w:rFonts w:ascii="Tahoma" w:hAnsi="Tahoma" w:cs="Tahoma"/>
          <w:b/>
          <w:i/>
          <w:szCs w:val="22"/>
          <w:lang w:val="el-GR"/>
        </w:rPr>
        <w:t xml:space="preserve">ανάκαμψης </w:t>
      </w:r>
      <w:r w:rsidRPr="007A1647">
        <w:rPr>
          <w:rFonts w:ascii="Tahoma" w:hAnsi="Tahoma" w:cs="Tahoma"/>
          <w:i/>
          <w:szCs w:val="22"/>
          <w:lang w:val="el-GR"/>
        </w:rPr>
        <w:t>εισήλθε ο κλάδος</w:t>
      </w:r>
      <w:r w:rsidR="006134F7">
        <w:rPr>
          <w:rFonts w:ascii="Tahoma" w:hAnsi="Tahoma" w:cs="Tahoma"/>
          <w:i/>
          <w:szCs w:val="22"/>
          <w:lang w:val="el-GR"/>
        </w:rPr>
        <w:t xml:space="preserve"> των </w:t>
      </w:r>
      <w:r w:rsidR="006134F7" w:rsidRPr="006134F7">
        <w:rPr>
          <w:rFonts w:ascii="Tahoma" w:hAnsi="Tahoma" w:cs="Tahoma"/>
          <w:i/>
          <w:szCs w:val="22"/>
          <w:lang w:val="el-GR"/>
        </w:rPr>
        <w:t>Ιδιωτικών Υπηρεσιών Ασφαλείας</w:t>
      </w:r>
      <w:r w:rsidRPr="007A1647">
        <w:rPr>
          <w:rFonts w:ascii="Tahoma" w:hAnsi="Tahoma" w:cs="Tahoma"/>
          <w:i/>
          <w:szCs w:val="22"/>
          <w:lang w:val="el-GR"/>
        </w:rPr>
        <w:t xml:space="preserve"> </w:t>
      </w:r>
      <w:r w:rsidR="00E52C3D">
        <w:rPr>
          <w:rFonts w:ascii="Tahoma" w:hAnsi="Tahoma" w:cs="Tahoma"/>
          <w:i/>
          <w:szCs w:val="22"/>
          <w:lang w:val="el-GR"/>
        </w:rPr>
        <w:t>το 2017</w:t>
      </w:r>
      <w:r w:rsidR="00110163" w:rsidRPr="00110163">
        <w:rPr>
          <w:rFonts w:ascii="Tahoma" w:hAnsi="Tahoma" w:cs="Tahoma"/>
          <w:i/>
          <w:szCs w:val="22"/>
          <w:lang w:val="el-GR"/>
        </w:rPr>
        <w:t>,</w:t>
      </w:r>
      <w:r w:rsidR="00E52C3D">
        <w:rPr>
          <w:rFonts w:ascii="Tahoma" w:hAnsi="Tahoma" w:cs="Tahoma"/>
          <w:i/>
          <w:szCs w:val="22"/>
          <w:lang w:val="el-GR"/>
        </w:rPr>
        <w:t xml:space="preserve"> περιορίζοντας εν μέρει τις μεγάλες απώλειες που υπέστη την περίοδο 2011-2014</w:t>
      </w:r>
      <w:r w:rsidR="007A1647">
        <w:rPr>
          <w:rFonts w:ascii="Tahoma" w:hAnsi="Tahoma" w:cs="Tahoma"/>
          <w:i/>
          <w:szCs w:val="22"/>
          <w:lang w:val="el-GR"/>
        </w:rPr>
        <w:t>.</w:t>
      </w:r>
    </w:p>
    <w:p w:rsidR="007A1647" w:rsidRDefault="002807E0" w:rsidP="002807E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/>
          <w:sz w:val="22"/>
          <w:szCs w:val="22"/>
          <w:lang w:val="el-GR"/>
        </w:rPr>
      </w:pPr>
      <w:r w:rsidRPr="002807E0">
        <w:rPr>
          <w:rFonts w:ascii="Tahoma" w:hAnsi="Tahoma" w:cs="Tahoma"/>
          <w:i/>
          <w:sz w:val="22"/>
          <w:szCs w:val="22"/>
          <w:lang w:val="el-GR"/>
        </w:rPr>
        <w:t xml:space="preserve">H ανοδική πορεία του εκτιμάται ότι θα συνεχισθεί και την τριετία </w:t>
      </w:r>
      <w:r w:rsidRPr="002807E0">
        <w:rPr>
          <w:rFonts w:ascii="Tahoma" w:hAnsi="Tahoma" w:cs="Tahoma"/>
          <w:b/>
          <w:i/>
          <w:sz w:val="22"/>
          <w:szCs w:val="22"/>
          <w:lang w:val="el-GR"/>
        </w:rPr>
        <w:t>2018-2020</w:t>
      </w:r>
      <w:r w:rsidRPr="002807E0">
        <w:rPr>
          <w:rFonts w:ascii="Tahoma" w:hAnsi="Tahoma" w:cs="Tahoma"/>
          <w:i/>
          <w:sz w:val="22"/>
          <w:szCs w:val="22"/>
          <w:lang w:val="el-GR"/>
        </w:rPr>
        <w:t xml:space="preserve"> με ετήσιους ρυθμούς ανάπτυξης της τάξεως του </w:t>
      </w:r>
      <w:r w:rsidRPr="002807E0">
        <w:rPr>
          <w:rFonts w:ascii="Tahoma" w:hAnsi="Tahoma" w:cs="Tahoma"/>
          <w:b/>
          <w:i/>
          <w:sz w:val="22"/>
          <w:szCs w:val="22"/>
          <w:lang w:val="el-GR"/>
        </w:rPr>
        <w:t>2,5%</w:t>
      </w:r>
      <w:r w:rsidRPr="002807E0">
        <w:rPr>
          <w:rFonts w:ascii="Tahoma" w:hAnsi="Tahoma" w:cs="Tahoma"/>
          <w:i/>
          <w:sz w:val="22"/>
          <w:szCs w:val="22"/>
          <w:lang w:val="el-GR"/>
        </w:rPr>
        <w:t xml:space="preserve"> περίπου.</w:t>
      </w:r>
    </w:p>
    <w:p w:rsidR="00310ABD" w:rsidRPr="002807E0" w:rsidRDefault="007B2061" w:rsidP="006134F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/>
          <w:sz w:val="22"/>
          <w:szCs w:val="22"/>
          <w:lang w:val="el-GR"/>
        </w:rPr>
      </w:pPr>
      <w:r>
        <w:rPr>
          <w:rFonts w:ascii="Tahoma" w:hAnsi="Tahoma" w:cs="Tahoma"/>
          <w:i/>
          <w:sz w:val="22"/>
          <w:szCs w:val="22"/>
          <w:lang w:val="el-GR"/>
        </w:rPr>
        <w:t>Μ</w:t>
      </w:r>
      <w:r w:rsidR="006134F7">
        <w:rPr>
          <w:rFonts w:ascii="Tahoma" w:hAnsi="Tahoma" w:cs="Tahoma"/>
          <w:i/>
          <w:sz w:val="22"/>
          <w:szCs w:val="22"/>
          <w:lang w:val="el-GR"/>
        </w:rPr>
        <w:t xml:space="preserve">είωση παρουσίασε </w:t>
      </w:r>
      <w:r w:rsidR="00310ABD">
        <w:rPr>
          <w:rFonts w:ascii="Tahoma" w:hAnsi="Tahoma" w:cs="Tahoma"/>
          <w:i/>
          <w:sz w:val="22"/>
          <w:szCs w:val="22"/>
          <w:lang w:val="el-GR"/>
        </w:rPr>
        <w:t xml:space="preserve">ο κλάδος </w:t>
      </w:r>
      <w:r w:rsidR="00310ABD" w:rsidRPr="006134F7">
        <w:rPr>
          <w:rFonts w:ascii="Tahoma" w:hAnsi="Tahoma" w:cs="Tahoma"/>
          <w:b/>
          <w:i/>
          <w:sz w:val="22"/>
          <w:szCs w:val="22"/>
          <w:lang w:val="el-GR"/>
        </w:rPr>
        <w:t>εισαγωγής ηλεκτρονικών συστημάτων</w:t>
      </w:r>
      <w:r w:rsidR="00310ABD">
        <w:rPr>
          <w:rFonts w:ascii="Tahoma" w:hAnsi="Tahoma" w:cs="Tahoma"/>
          <w:i/>
          <w:sz w:val="22"/>
          <w:szCs w:val="22"/>
          <w:lang w:val="el-GR"/>
        </w:rPr>
        <w:t xml:space="preserve"> ασφαλείας</w:t>
      </w:r>
      <w:r w:rsidR="006134F7">
        <w:rPr>
          <w:rFonts w:ascii="Tahoma" w:hAnsi="Tahoma" w:cs="Tahoma"/>
          <w:i/>
          <w:sz w:val="22"/>
          <w:szCs w:val="22"/>
          <w:lang w:val="el-GR"/>
        </w:rPr>
        <w:t xml:space="preserve"> την περίοδο 2011-2014, ενώ το 2016 και το 2017 παρουσίασε σημαντική αύξηση </w:t>
      </w:r>
      <w:r w:rsidR="00885FD1">
        <w:rPr>
          <w:rFonts w:ascii="Tahoma" w:hAnsi="Tahoma" w:cs="Tahoma"/>
          <w:i/>
          <w:sz w:val="22"/>
          <w:szCs w:val="22"/>
          <w:lang w:val="el-GR"/>
        </w:rPr>
        <w:t xml:space="preserve">κατά </w:t>
      </w:r>
      <w:r w:rsidR="006134F7" w:rsidRPr="006134F7">
        <w:rPr>
          <w:rFonts w:ascii="Tahoma" w:hAnsi="Tahoma" w:cs="Tahoma"/>
          <w:i/>
          <w:sz w:val="22"/>
          <w:szCs w:val="22"/>
          <w:lang w:val="el-GR"/>
        </w:rPr>
        <w:t>3,8%</w:t>
      </w:r>
      <w:r w:rsidR="006134F7">
        <w:rPr>
          <w:rFonts w:ascii="Tahoma" w:hAnsi="Tahoma" w:cs="Tahoma"/>
          <w:i/>
          <w:sz w:val="22"/>
          <w:szCs w:val="22"/>
          <w:lang w:val="el-GR"/>
        </w:rPr>
        <w:t xml:space="preserve"> </w:t>
      </w:r>
      <w:r w:rsidR="006134F7" w:rsidRPr="006134F7">
        <w:rPr>
          <w:rFonts w:ascii="Tahoma" w:hAnsi="Tahoma" w:cs="Tahoma"/>
          <w:i/>
          <w:sz w:val="22"/>
          <w:szCs w:val="22"/>
          <w:lang w:val="el-GR"/>
        </w:rPr>
        <w:t xml:space="preserve">και </w:t>
      </w:r>
      <w:r w:rsidR="006134F7">
        <w:rPr>
          <w:rFonts w:ascii="Tahoma" w:hAnsi="Tahoma" w:cs="Tahoma"/>
          <w:i/>
          <w:sz w:val="22"/>
          <w:szCs w:val="22"/>
          <w:lang w:val="el-GR"/>
        </w:rPr>
        <w:t>5,2% αντίστοιχα</w:t>
      </w:r>
      <w:r w:rsidR="00310ABD">
        <w:rPr>
          <w:rFonts w:ascii="Tahoma" w:hAnsi="Tahoma" w:cs="Tahoma"/>
          <w:i/>
          <w:sz w:val="22"/>
          <w:szCs w:val="22"/>
          <w:lang w:val="el-GR"/>
        </w:rPr>
        <w:t>.</w:t>
      </w:r>
    </w:p>
    <w:p w:rsidR="002807E0" w:rsidRDefault="002807E0" w:rsidP="002807E0">
      <w:pPr>
        <w:pStyle w:val="BodyText2"/>
        <w:rPr>
          <w:rFonts w:ascii="Tahoma" w:hAnsi="Tahoma" w:cs="Tahoma"/>
          <w:sz w:val="22"/>
        </w:rPr>
      </w:pPr>
    </w:p>
    <w:p w:rsidR="00C92C3F" w:rsidRDefault="002807E0" w:rsidP="00C92C3F">
      <w:pPr>
        <w:pStyle w:val="BodyText2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</w:rPr>
        <w:tab/>
      </w:r>
      <w:r w:rsidRPr="002807E0">
        <w:rPr>
          <w:rFonts w:ascii="Tahoma" w:hAnsi="Tahoma" w:cs="Tahoma"/>
          <w:sz w:val="22"/>
        </w:rPr>
        <w:t xml:space="preserve">Η ελληνική αγορά των Ιδιωτικών Υπηρεσιών Ασφαλείας </w:t>
      </w:r>
      <w:r w:rsidR="00310ABD">
        <w:rPr>
          <w:rFonts w:ascii="Tahoma" w:hAnsi="Tahoma" w:cs="Tahoma"/>
          <w:sz w:val="22"/>
        </w:rPr>
        <w:t xml:space="preserve">χαρακτηρίζεται </w:t>
      </w:r>
      <w:r w:rsidRPr="002807E0">
        <w:rPr>
          <w:rFonts w:ascii="Tahoma" w:hAnsi="Tahoma" w:cs="Tahoma"/>
          <w:sz w:val="22"/>
        </w:rPr>
        <w:t xml:space="preserve">από την παρουσία </w:t>
      </w:r>
      <w:r w:rsidRPr="002807E0">
        <w:rPr>
          <w:rFonts w:ascii="Tahoma" w:hAnsi="Tahoma" w:cs="Tahoma"/>
          <w:b/>
          <w:sz w:val="22"/>
        </w:rPr>
        <w:t>λίγων μεγάλων εταιρειών</w:t>
      </w:r>
      <w:r w:rsidRPr="002807E0">
        <w:rPr>
          <w:rFonts w:ascii="Tahoma" w:hAnsi="Tahoma" w:cs="Tahoma"/>
          <w:sz w:val="22"/>
        </w:rPr>
        <w:t xml:space="preserve">, ενώ η </w:t>
      </w:r>
      <w:r w:rsidRPr="002807E0">
        <w:rPr>
          <w:rFonts w:ascii="Tahoma" w:hAnsi="Tahoma" w:cs="Tahoma"/>
          <w:b/>
          <w:sz w:val="22"/>
        </w:rPr>
        <w:t>πλειοψηφία</w:t>
      </w:r>
      <w:r w:rsidRPr="002807E0">
        <w:rPr>
          <w:rFonts w:ascii="Tahoma" w:hAnsi="Tahoma" w:cs="Tahoma"/>
          <w:sz w:val="22"/>
        </w:rPr>
        <w:t xml:space="preserve"> των επιχειρήσεων που δραστηριοποιούνται στον κλάδο είναι </w:t>
      </w:r>
      <w:r w:rsidRPr="002807E0">
        <w:rPr>
          <w:rFonts w:ascii="Tahoma" w:hAnsi="Tahoma" w:cs="Tahoma"/>
          <w:b/>
          <w:sz w:val="22"/>
        </w:rPr>
        <w:t>μικρού μεγέθους</w:t>
      </w:r>
      <w:r w:rsidRPr="002807E0">
        <w:rPr>
          <w:rFonts w:ascii="Tahoma" w:hAnsi="Tahoma" w:cs="Tahoma"/>
          <w:sz w:val="22"/>
        </w:rPr>
        <w:t>. Το εύρος των υπηρεσιών και προϊόντων που προσφέρει η κάθε επιχείρηση ποικίλει, ανάλογα με το μέγεθος και τη δυναμικότητά της, το βαθμό εξειδίκευσης σε κάποια συγκεκριμένη κατηγορία υπηρεσιών, καθώς και το βαθμό συνεργασίας της με άλλες επιχειρήσεις του κλάδου.</w:t>
      </w:r>
      <w:r w:rsidR="00C92C3F">
        <w:rPr>
          <w:rFonts w:ascii="Tahoma" w:hAnsi="Tahoma" w:cs="Tahoma"/>
          <w:sz w:val="22"/>
        </w:rPr>
        <w:t xml:space="preserve"> </w:t>
      </w:r>
      <w:r w:rsidR="00C92C3F" w:rsidRPr="00D8133D">
        <w:rPr>
          <w:rFonts w:ascii="Tahoma" w:hAnsi="Tahoma" w:cs="Tahoma"/>
          <w:sz w:val="22"/>
          <w:szCs w:val="24"/>
        </w:rPr>
        <w:t xml:space="preserve">Οι πρόσφατες εξελίξεις του κλάδου επισημαίνονται στην τελευταία έκδοση της σχετικής κλαδικής μελέτης που εκπόνησε η </w:t>
      </w:r>
      <w:r w:rsidR="00C92C3F" w:rsidRPr="00D8133D">
        <w:rPr>
          <w:rFonts w:ascii="Tahoma" w:hAnsi="Tahoma" w:cs="Tahoma"/>
          <w:b/>
          <w:sz w:val="22"/>
          <w:szCs w:val="24"/>
        </w:rPr>
        <w:t>Διεύθυνση Οικονομικών Μελετών</w:t>
      </w:r>
      <w:r w:rsidR="00C92C3F" w:rsidRPr="00D8133D">
        <w:rPr>
          <w:rFonts w:ascii="Tahoma" w:hAnsi="Tahoma" w:cs="Tahoma"/>
          <w:sz w:val="22"/>
          <w:szCs w:val="24"/>
        </w:rPr>
        <w:t xml:space="preserve"> της </w:t>
      </w:r>
      <w:r w:rsidR="00C92C3F" w:rsidRPr="00D8133D">
        <w:rPr>
          <w:rFonts w:ascii="Tahoma" w:hAnsi="Tahoma" w:cs="Tahoma"/>
          <w:b/>
          <w:sz w:val="22"/>
          <w:szCs w:val="24"/>
        </w:rPr>
        <w:t>ICAP Group Α.Ε.</w:t>
      </w:r>
    </w:p>
    <w:p w:rsidR="00F33C21" w:rsidRDefault="002807E0" w:rsidP="007D18DF">
      <w:pPr>
        <w:pStyle w:val="BodyText2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</w:rPr>
        <w:tab/>
      </w:r>
      <w:r w:rsidRPr="002807E0">
        <w:rPr>
          <w:rFonts w:ascii="Tahoma" w:hAnsi="Tahoma" w:cs="Tahoma"/>
          <w:sz w:val="22"/>
        </w:rPr>
        <w:t xml:space="preserve">Οι μεγαλύτερες εταιρείες παροχής υπηρεσιών ασφαλείας διαθέτουν δίκτυα αποκλειστικών αντιπροσώπων στην περιφέρεια, πετυχαίνοντας έτσι πληρέστερη γεωγραφική κάλυψη της αγοράς, προσφέροντας παράλληλα και ευρύτερη γκάμα υπηρεσιών. </w:t>
      </w:r>
    </w:p>
    <w:p w:rsidR="004D19E8" w:rsidRDefault="002807E0" w:rsidP="004D19E8">
      <w:pPr>
        <w:pStyle w:val="BodyText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="00C92C3F">
        <w:rPr>
          <w:rFonts w:ascii="Tahoma" w:hAnsi="Tahoma" w:cs="Tahoma"/>
          <w:b/>
          <w:sz w:val="22"/>
          <w:szCs w:val="24"/>
        </w:rPr>
        <w:t>Σύμφωνα με το Ν.</w:t>
      </w:r>
      <w:r w:rsidR="00C92C3F" w:rsidRPr="00BE1997">
        <w:rPr>
          <w:rFonts w:ascii="Tahoma" w:hAnsi="Tahoma" w:cs="Tahoma"/>
          <w:b/>
          <w:sz w:val="22"/>
          <w:szCs w:val="24"/>
        </w:rPr>
        <w:t xml:space="preserve"> Ταβουλάρη,</w:t>
      </w:r>
      <w:r w:rsidR="00C92C3F">
        <w:rPr>
          <w:rFonts w:ascii="Tahoma" w:hAnsi="Tahoma" w:cs="Tahoma"/>
          <w:sz w:val="22"/>
          <w:szCs w:val="24"/>
        </w:rPr>
        <w:t xml:space="preserve"> </w:t>
      </w:r>
      <w:r w:rsidR="00C92C3F">
        <w:rPr>
          <w:rFonts w:ascii="Tahoma" w:hAnsi="Tahoma" w:cs="Tahoma"/>
          <w:sz w:val="22"/>
          <w:szCs w:val="24"/>
          <w:lang w:val="en-US"/>
        </w:rPr>
        <w:t>Senior</w:t>
      </w:r>
      <w:r w:rsidR="00C92C3F" w:rsidRPr="00BE1997">
        <w:rPr>
          <w:rFonts w:ascii="Tahoma" w:hAnsi="Tahoma" w:cs="Tahoma"/>
          <w:sz w:val="22"/>
          <w:szCs w:val="24"/>
        </w:rPr>
        <w:t xml:space="preserve"> </w:t>
      </w:r>
      <w:r w:rsidR="00C92C3F">
        <w:rPr>
          <w:rFonts w:ascii="Tahoma" w:hAnsi="Tahoma" w:cs="Tahoma"/>
          <w:sz w:val="22"/>
          <w:szCs w:val="24"/>
          <w:lang w:val="en-US"/>
        </w:rPr>
        <w:t>Consultant</w:t>
      </w:r>
      <w:r w:rsidR="00C92C3F" w:rsidRPr="00BE1997">
        <w:rPr>
          <w:rFonts w:ascii="Tahoma" w:hAnsi="Tahoma" w:cs="Tahoma"/>
          <w:sz w:val="22"/>
          <w:szCs w:val="24"/>
        </w:rPr>
        <w:t xml:space="preserve"> </w:t>
      </w:r>
      <w:r w:rsidR="00C92C3F">
        <w:rPr>
          <w:rFonts w:ascii="Tahoma" w:hAnsi="Tahoma" w:cs="Tahoma"/>
          <w:sz w:val="22"/>
          <w:szCs w:val="24"/>
        </w:rPr>
        <w:t xml:space="preserve">Οικονομικών Μελετών της </w:t>
      </w:r>
      <w:r w:rsidR="00C92C3F">
        <w:rPr>
          <w:rFonts w:ascii="Tahoma" w:hAnsi="Tahoma" w:cs="Tahoma"/>
          <w:sz w:val="22"/>
          <w:szCs w:val="24"/>
          <w:lang w:val="en-US"/>
        </w:rPr>
        <w:t>ICAP</w:t>
      </w:r>
      <w:r w:rsidR="00C92C3F" w:rsidRPr="00BE1997">
        <w:rPr>
          <w:rFonts w:ascii="Tahoma" w:hAnsi="Tahoma" w:cs="Tahoma"/>
          <w:sz w:val="22"/>
          <w:szCs w:val="24"/>
        </w:rPr>
        <w:t xml:space="preserve"> </w:t>
      </w:r>
      <w:r w:rsidR="00C92C3F">
        <w:rPr>
          <w:rFonts w:ascii="Tahoma" w:hAnsi="Tahoma" w:cs="Tahoma"/>
          <w:sz w:val="22"/>
          <w:szCs w:val="24"/>
          <w:lang w:val="en-US"/>
        </w:rPr>
        <w:t>Group</w:t>
      </w:r>
      <w:r w:rsidR="00C92C3F" w:rsidRPr="00BE1997">
        <w:rPr>
          <w:rFonts w:ascii="Tahoma" w:hAnsi="Tahoma" w:cs="Tahoma"/>
          <w:sz w:val="22"/>
          <w:szCs w:val="24"/>
        </w:rPr>
        <w:t xml:space="preserve">, </w:t>
      </w:r>
      <w:r w:rsidR="00C92C3F">
        <w:rPr>
          <w:rFonts w:ascii="Tahoma" w:hAnsi="Tahoma" w:cs="Tahoma"/>
          <w:sz w:val="22"/>
          <w:szCs w:val="24"/>
        </w:rPr>
        <w:t>ο οποίος επιμελήθηκε της συγκεκριμένης έκδοσης, η</w:t>
      </w:r>
      <w:r w:rsidRPr="00727B23">
        <w:rPr>
          <w:rFonts w:ascii="Tahoma" w:hAnsi="Tahoma" w:cs="Tahoma"/>
          <w:sz w:val="21"/>
          <w:szCs w:val="21"/>
        </w:rPr>
        <w:t xml:space="preserve"> </w:t>
      </w:r>
      <w:r w:rsidRPr="00727B23">
        <w:rPr>
          <w:rFonts w:ascii="Tahoma" w:hAnsi="Tahoma" w:cs="Tahoma"/>
          <w:b/>
          <w:bCs/>
          <w:sz w:val="21"/>
          <w:szCs w:val="21"/>
        </w:rPr>
        <w:t>εγκληματικότητα</w:t>
      </w:r>
      <w:r w:rsidRPr="00727B23">
        <w:rPr>
          <w:rFonts w:ascii="Tahoma" w:hAnsi="Tahoma" w:cs="Tahoma"/>
          <w:sz w:val="21"/>
          <w:szCs w:val="21"/>
        </w:rPr>
        <w:t xml:space="preserve"> είναι ο κυριότερος παράγοντας που διαμορφώνει τη </w:t>
      </w:r>
      <w:r w:rsidRPr="005E5A44">
        <w:rPr>
          <w:rFonts w:ascii="Tahoma" w:hAnsi="Tahoma" w:cs="Tahoma"/>
          <w:b/>
          <w:sz w:val="21"/>
          <w:szCs w:val="21"/>
        </w:rPr>
        <w:t>ζήτηση</w:t>
      </w:r>
      <w:r w:rsidRPr="00727B23">
        <w:rPr>
          <w:rFonts w:ascii="Tahoma" w:hAnsi="Tahoma" w:cs="Tahoma"/>
          <w:sz w:val="21"/>
          <w:szCs w:val="21"/>
        </w:rPr>
        <w:t xml:space="preserve"> των ιδιωτικών υπηρεσιών και των συστημάτων ασφαλείας.</w:t>
      </w:r>
      <w:r w:rsidR="004D19E8">
        <w:rPr>
          <w:rFonts w:ascii="Tahoma" w:hAnsi="Tahoma" w:cs="Tahoma"/>
          <w:sz w:val="21"/>
          <w:szCs w:val="21"/>
        </w:rPr>
        <w:t xml:space="preserve"> </w:t>
      </w:r>
      <w:r w:rsidR="004D19E8" w:rsidRPr="004D19E8">
        <w:rPr>
          <w:rFonts w:ascii="Tahoma" w:hAnsi="Tahoma" w:cs="Tahoma"/>
          <w:sz w:val="21"/>
          <w:szCs w:val="21"/>
        </w:rPr>
        <w:t>Τα φαινόμενα εγκληματικότητας</w:t>
      </w:r>
      <w:r w:rsidR="00C92C3F">
        <w:rPr>
          <w:rFonts w:ascii="Tahoma" w:hAnsi="Tahoma" w:cs="Tahoma"/>
          <w:sz w:val="21"/>
          <w:szCs w:val="21"/>
        </w:rPr>
        <w:t xml:space="preserve"> </w:t>
      </w:r>
      <w:r w:rsidR="004D19E8" w:rsidRPr="004D19E8">
        <w:rPr>
          <w:rFonts w:ascii="Tahoma" w:hAnsi="Tahoma" w:cs="Tahoma"/>
          <w:sz w:val="21"/>
          <w:szCs w:val="21"/>
        </w:rPr>
        <w:t>οποιασδήποτε μορφής, δημιουργούν αίσθημα ανασφάλειας στους πολίτες, ωθώντας τους στην αναζήτηση επιπλέον προστασίας, πέραν αυτής που προσφέρουν οι κρατικές υπηρεσίες.</w:t>
      </w:r>
      <w:r w:rsidR="004D19E8">
        <w:rPr>
          <w:rFonts w:ascii="Tahoma" w:hAnsi="Tahoma" w:cs="Tahoma"/>
          <w:sz w:val="21"/>
          <w:szCs w:val="21"/>
        </w:rPr>
        <w:t xml:space="preserve"> Ά</w:t>
      </w:r>
      <w:r w:rsidR="004D19E8" w:rsidRPr="004D19E8">
        <w:rPr>
          <w:rFonts w:ascii="Tahoma" w:hAnsi="Tahoma" w:cs="Tahoma"/>
          <w:sz w:val="21"/>
          <w:szCs w:val="21"/>
        </w:rPr>
        <w:t>λλοι σημαντικοί παράγοντες που επηρεάζουν τη ζήτηση για τις εξεταζόμενες υπηρεσίες και προϊόντα, είναι</w:t>
      </w:r>
      <w:r w:rsidR="004D19E8">
        <w:rPr>
          <w:rFonts w:ascii="Tahoma" w:hAnsi="Tahoma" w:cs="Tahoma"/>
          <w:sz w:val="21"/>
          <w:szCs w:val="21"/>
        </w:rPr>
        <w:t xml:space="preserve"> οι εξής</w:t>
      </w:r>
      <w:r w:rsidR="004D19E8" w:rsidRPr="004D19E8">
        <w:rPr>
          <w:rFonts w:ascii="Tahoma" w:hAnsi="Tahoma" w:cs="Tahoma"/>
          <w:sz w:val="21"/>
          <w:szCs w:val="21"/>
        </w:rPr>
        <w:t xml:space="preserve">: </w:t>
      </w:r>
    </w:p>
    <w:p w:rsidR="004D19E8" w:rsidRDefault="004D19E8" w:rsidP="004D19E8">
      <w:pPr>
        <w:pStyle w:val="BodyText2"/>
        <w:numPr>
          <w:ilvl w:val="0"/>
          <w:numId w:val="11"/>
        </w:numPr>
        <w:ind w:left="709" w:hanging="436"/>
        <w:rPr>
          <w:rFonts w:ascii="Tahoma" w:hAnsi="Tahoma" w:cs="Tahoma"/>
          <w:sz w:val="21"/>
          <w:szCs w:val="21"/>
        </w:rPr>
      </w:pPr>
      <w:r w:rsidRPr="004D19E8">
        <w:rPr>
          <w:rFonts w:ascii="Tahoma" w:hAnsi="Tahoma" w:cs="Tahoma"/>
          <w:sz w:val="21"/>
          <w:szCs w:val="21"/>
        </w:rPr>
        <w:t>Η εξέλιξη της επιχειρηματικής δραστηριότητας, καθώς οι ιδρύσεις νέων επιχειρήσεων, όπως και οι επεκτάσεις των παλαιοτέρων, δημιουργούν αυξημένες ανάγκες για υπηρεσίες φύλαξης και επιτήρησης, χρηματαποστολές κλπ.</w:t>
      </w:r>
    </w:p>
    <w:p w:rsidR="004D19E8" w:rsidRDefault="004D19E8" w:rsidP="004D19E8">
      <w:pPr>
        <w:pStyle w:val="BodyText2"/>
        <w:numPr>
          <w:ilvl w:val="0"/>
          <w:numId w:val="11"/>
        </w:numPr>
        <w:ind w:left="709" w:hanging="436"/>
        <w:rPr>
          <w:rFonts w:ascii="Tahoma" w:hAnsi="Tahoma" w:cs="Tahoma"/>
          <w:sz w:val="21"/>
          <w:szCs w:val="21"/>
        </w:rPr>
      </w:pPr>
      <w:r w:rsidRPr="004D19E8">
        <w:rPr>
          <w:rFonts w:ascii="Tahoma" w:hAnsi="Tahoma" w:cs="Tahoma"/>
          <w:sz w:val="21"/>
          <w:szCs w:val="21"/>
        </w:rPr>
        <w:t>Η κατασκευή και λειτουργία μεγάλων έργων (όπως π.χ. το Αττικό Μετρό)</w:t>
      </w:r>
      <w:r>
        <w:rPr>
          <w:rFonts w:ascii="Tahoma" w:hAnsi="Tahoma" w:cs="Tahoma"/>
          <w:sz w:val="21"/>
          <w:szCs w:val="21"/>
        </w:rPr>
        <w:t>.</w:t>
      </w:r>
    </w:p>
    <w:p w:rsidR="004D19E8" w:rsidRPr="004D19E8" w:rsidRDefault="004D19E8" w:rsidP="004D19E8">
      <w:pPr>
        <w:pStyle w:val="BodyText2"/>
        <w:numPr>
          <w:ilvl w:val="0"/>
          <w:numId w:val="11"/>
        </w:numPr>
        <w:ind w:left="709" w:hanging="436"/>
        <w:rPr>
          <w:rFonts w:ascii="Tahoma" w:hAnsi="Tahoma" w:cs="Tahoma"/>
          <w:sz w:val="21"/>
          <w:szCs w:val="21"/>
        </w:rPr>
      </w:pPr>
      <w:r w:rsidRPr="004D19E8">
        <w:rPr>
          <w:rFonts w:ascii="Tahoma" w:hAnsi="Tahoma" w:cs="Tahoma"/>
          <w:sz w:val="21"/>
          <w:szCs w:val="21"/>
        </w:rPr>
        <w:t>Η διορ</w:t>
      </w:r>
      <w:r>
        <w:rPr>
          <w:rFonts w:ascii="Tahoma" w:hAnsi="Tahoma" w:cs="Tahoma"/>
          <w:sz w:val="21"/>
          <w:szCs w:val="21"/>
        </w:rPr>
        <w:t xml:space="preserve">γάνωση διαφόρων εκδηλώσεων </w:t>
      </w:r>
      <w:r w:rsidRPr="004D19E8">
        <w:rPr>
          <w:rFonts w:ascii="Tahoma" w:hAnsi="Tahoma" w:cs="Tahoma"/>
          <w:sz w:val="21"/>
          <w:szCs w:val="21"/>
        </w:rPr>
        <w:t>όπως φεστιβάλ, συν</w:t>
      </w:r>
      <w:r>
        <w:rPr>
          <w:rFonts w:ascii="Tahoma" w:hAnsi="Tahoma" w:cs="Tahoma"/>
          <w:sz w:val="21"/>
          <w:szCs w:val="21"/>
        </w:rPr>
        <w:t>αυλίες, εκθέσεις, συνέδρια κλπ.</w:t>
      </w:r>
      <w:r w:rsidRPr="004D19E8">
        <w:rPr>
          <w:rFonts w:ascii="Tahoma" w:hAnsi="Tahoma" w:cs="Tahoma"/>
          <w:sz w:val="21"/>
          <w:szCs w:val="21"/>
        </w:rPr>
        <w:t xml:space="preserve"> </w:t>
      </w:r>
    </w:p>
    <w:p w:rsidR="00DA67AF" w:rsidRPr="005E5A44" w:rsidRDefault="004D19E8" w:rsidP="005E5A44">
      <w:pPr>
        <w:pStyle w:val="BodyText2"/>
        <w:ind w:left="709" w:hanging="425"/>
        <w:rPr>
          <w:rFonts w:ascii="Tahoma" w:hAnsi="Tahoma" w:cs="Tahoma"/>
          <w:b/>
          <w:sz w:val="22"/>
          <w:szCs w:val="24"/>
        </w:rPr>
      </w:pPr>
      <w:bookmarkStart w:id="0" w:name="_GoBack"/>
      <w:bookmarkEnd w:id="0"/>
      <w:r w:rsidRPr="004D19E8">
        <w:rPr>
          <w:rFonts w:ascii="Tahoma" w:hAnsi="Tahoma" w:cs="Tahoma"/>
          <w:sz w:val="21"/>
          <w:szCs w:val="21"/>
        </w:rPr>
        <w:lastRenderedPageBreak/>
        <w:t>•</w:t>
      </w:r>
      <w:r w:rsidRPr="004D19E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Τα φαινόμενα </w:t>
      </w:r>
      <w:r w:rsidRPr="004D19E8">
        <w:rPr>
          <w:rFonts w:ascii="Tahoma" w:hAnsi="Tahoma" w:cs="Tahoma"/>
          <w:sz w:val="21"/>
          <w:szCs w:val="21"/>
        </w:rPr>
        <w:t>τρομοκρατία</w:t>
      </w:r>
      <w:r>
        <w:rPr>
          <w:rFonts w:ascii="Tahoma" w:hAnsi="Tahoma" w:cs="Tahoma"/>
          <w:sz w:val="21"/>
          <w:szCs w:val="21"/>
        </w:rPr>
        <w:t>ς</w:t>
      </w:r>
      <w:r w:rsidR="005E5A44">
        <w:rPr>
          <w:rFonts w:ascii="Tahoma" w:hAnsi="Tahoma" w:cs="Tahoma"/>
          <w:sz w:val="21"/>
          <w:szCs w:val="21"/>
        </w:rPr>
        <w:t xml:space="preserve">, </w:t>
      </w:r>
      <w:r w:rsidRPr="004D19E8">
        <w:rPr>
          <w:rFonts w:ascii="Tahoma" w:hAnsi="Tahoma" w:cs="Tahoma"/>
          <w:sz w:val="21"/>
          <w:szCs w:val="21"/>
        </w:rPr>
        <w:t xml:space="preserve">κυρίως λόγω </w:t>
      </w:r>
      <w:r w:rsidR="005E5A44">
        <w:rPr>
          <w:rFonts w:ascii="Tahoma" w:hAnsi="Tahoma" w:cs="Tahoma"/>
          <w:sz w:val="21"/>
          <w:szCs w:val="21"/>
        </w:rPr>
        <w:t xml:space="preserve">και </w:t>
      </w:r>
      <w:r w:rsidRPr="004D19E8">
        <w:rPr>
          <w:rFonts w:ascii="Tahoma" w:hAnsi="Tahoma" w:cs="Tahoma"/>
          <w:sz w:val="21"/>
          <w:szCs w:val="21"/>
        </w:rPr>
        <w:t>της «έξαρσης» των σχετικών κρουσμάτων σε ολόκληρο σχεδόν τον κόσμο.</w:t>
      </w:r>
    </w:p>
    <w:p w:rsidR="003E15AD" w:rsidRDefault="00DA67AF" w:rsidP="007D18DF">
      <w:pPr>
        <w:pStyle w:val="BodyText2"/>
        <w:rPr>
          <w:rFonts w:ascii="Tahoma" w:eastAsiaTheme="minorHAnsi" w:hAnsi="Tahoma" w:cs="Tahoma"/>
          <w:sz w:val="21"/>
          <w:szCs w:val="21"/>
        </w:rPr>
      </w:pPr>
      <w:r>
        <w:rPr>
          <w:rFonts w:ascii="Tahoma" w:eastAsiaTheme="minorHAnsi" w:hAnsi="Tahoma" w:cs="Tahoma"/>
          <w:sz w:val="21"/>
          <w:szCs w:val="21"/>
        </w:rPr>
        <w:tab/>
        <w:t>Εκτιμάται ότι το 65% της ζήτησης για τις υπηρεσίες του κλάδου προήλθε από τον ιδιωτικό τομέα</w:t>
      </w:r>
      <w:r w:rsidRPr="00DA67AF">
        <w:rPr>
          <w:rFonts w:ascii="Tahoma" w:eastAsiaTheme="minorHAnsi" w:hAnsi="Tahoma" w:cs="Tahoma"/>
          <w:sz w:val="21"/>
          <w:szCs w:val="21"/>
        </w:rPr>
        <w:t xml:space="preserve"> (επι</w:t>
      </w:r>
      <w:r w:rsidR="005E5A44">
        <w:rPr>
          <w:rFonts w:ascii="Tahoma" w:eastAsiaTheme="minorHAnsi" w:hAnsi="Tahoma" w:cs="Tahoma"/>
          <w:sz w:val="21"/>
          <w:szCs w:val="21"/>
        </w:rPr>
        <w:t>χειρήσεις, εμπορικά κέντρα κλπ)</w:t>
      </w:r>
      <w:r w:rsidR="009B2A20">
        <w:rPr>
          <w:rFonts w:ascii="Tahoma" w:eastAsiaTheme="minorHAnsi" w:hAnsi="Tahoma" w:cs="Tahoma"/>
          <w:sz w:val="21"/>
          <w:szCs w:val="21"/>
        </w:rPr>
        <w:t xml:space="preserve"> το 2016</w:t>
      </w:r>
      <w:r w:rsidR="005E5A44">
        <w:rPr>
          <w:rFonts w:ascii="Tahoma" w:eastAsiaTheme="minorHAnsi" w:hAnsi="Tahoma" w:cs="Tahoma"/>
          <w:sz w:val="21"/>
          <w:szCs w:val="21"/>
        </w:rPr>
        <w:t xml:space="preserve">, ενώ </w:t>
      </w:r>
      <w:r w:rsidRPr="00DA67AF">
        <w:rPr>
          <w:rFonts w:ascii="Tahoma" w:eastAsiaTheme="minorHAnsi" w:hAnsi="Tahoma" w:cs="Tahoma"/>
          <w:sz w:val="21"/>
          <w:szCs w:val="21"/>
        </w:rPr>
        <w:t>ο δημόσιος τομέας (σχολεία, χώροι δημοσίων έργων, οργανισμοί κ.ά), κάλυψε το</w:t>
      </w:r>
      <w:r w:rsidR="009B2A20">
        <w:rPr>
          <w:rFonts w:ascii="Tahoma" w:eastAsiaTheme="minorHAnsi" w:hAnsi="Tahoma" w:cs="Tahoma"/>
          <w:sz w:val="21"/>
          <w:szCs w:val="21"/>
        </w:rPr>
        <w:t xml:space="preserve"> 25% της  ζήτησης το ίδιο έτος. Το </w:t>
      </w:r>
      <w:r w:rsidR="009B2A20" w:rsidRPr="00DA67AF">
        <w:rPr>
          <w:rFonts w:ascii="Tahoma" w:eastAsiaTheme="minorHAnsi" w:hAnsi="Tahoma" w:cs="Tahoma"/>
          <w:sz w:val="21"/>
          <w:szCs w:val="21"/>
        </w:rPr>
        <w:t>7%</w:t>
      </w:r>
      <w:r w:rsidR="009B2A20">
        <w:rPr>
          <w:rFonts w:ascii="Tahoma" w:eastAsiaTheme="minorHAnsi" w:hAnsi="Tahoma" w:cs="Tahoma"/>
          <w:sz w:val="21"/>
          <w:szCs w:val="21"/>
        </w:rPr>
        <w:t xml:space="preserve"> προήλθε από τις </w:t>
      </w:r>
      <w:r w:rsidRPr="00DA67AF">
        <w:rPr>
          <w:rFonts w:ascii="Tahoma" w:eastAsiaTheme="minorHAnsi" w:hAnsi="Tahoma" w:cs="Tahoma"/>
          <w:sz w:val="21"/>
          <w:szCs w:val="21"/>
        </w:rPr>
        <w:t xml:space="preserve">τράπεζες </w:t>
      </w:r>
      <w:r w:rsidR="009B2A20">
        <w:rPr>
          <w:rFonts w:ascii="Tahoma" w:eastAsiaTheme="minorHAnsi" w:hAnsi="Tahoma" w:cs="Tahoma"/>
          <w:sz w:val="21"/>
          <w:szCs w:val="21"/>
        </w:rPr>
        <w:t>και το 3% από λοιπούς</w:t>
      </w:r>
      <w:r w:rsidRPr="00DA67AF">
        <w:rPr>
          <w:rFonts w:ascii="Tahoma" w:eastAsiaTheme="minorHAnsi" w:hAnsi="Tahoma" w:cs="Tahoma"/>
          <w:sz w:val="21"/>
          <w:szCs w:val="21"/>
        </w:rPr>
        <w:t xml:space="preserve"> (φυσικά πρόσωπα κ.ά.)</w:t>
      </w:r>
      <w:r w:rsidR="009B2A20">
        <w:rPr>
          <w:rFonts w:ascii="Tahoma" w:eastAsiaTheme="minorHAnsi" w:hAnsi="Tahoma" w:cs="Tahoma"/>
          <w:sz w:val="21"/>
          <w:szCs w:val="21"/>
        </w:rPr>
        <w:t>.</w:t>
      </w:r>
    </w:p>
    <w:p w:rsidR="009B2A20" w:rsidRPr="009B2A20" w:rsidRDefault="009B2A20" w:rsidP="007D18DF">
      <w:pPr>
        <w:pStyle w:val="BodyText2"/>
        <w:rPr>
          <w:rFonts w:ascii="Tahoma" w:hAnsi="Tahoma" w:cs="Tahoma"/>
          <w:b/>
          <w:sz w:val="22"/>
          <w:szCs w:val="24"/>
        </w:rPr>
      </w:pPr>
    </w:p>
    <w:p w:rsidR="00670216" w:rsidRPr="009B2A20" w:rsidRDefault="009B2A20" w:rsidP="007D18DF">
      <w:pPr>
        <w:pStyle w:val="BodyText2"/>
        <w:ind w:firstLine="360"/>
        <w:rPr>
          <w:rFonts w:ascii="Tahoma" w:hAnsi="Tahoma" w:cs="Tahoma"/>
          <w:b/>
          <w:sz w:val="22"/>
        </w:rPr>
      </w:pPr>
      <w:r w:rsidRPr="009B2A20">
        <w:rPr>
          <w:rFonts w:ascii="Tahoma" w:hAnsi="Tahoma" w:cs="Tahoma"/>
          <w:b/>
          <w:sz w:val="22"/>
          <w:lang w:eastAsia="el-GR"/>
        </w:rPr>
        <w:t>Κατανομή της ζήτησης υπηρεσιών φύλαξης ανά κατηγορία πελατών (2016)</w:t>
      </w:r>
    </w:p>
    <w:p w:rsidR="00670216" w:rsidRDefault="00C92C3F" w:rsidP="007D18DF">
      <w:pPr>
        <w:pStyle w:val="BodyText2"/>
        <w:ind w:firstLine="360"/>
        <w:rPr>
          <w:rFonts w:ascii="Tahoma" w:hAnsi="Tahoma" w:cs="Tahoma"/>
          <w:sz w:val="22"/>
          <w:szCs w:val="24"/>
        </w:rPr>
      </w:pPr>
      <w:r w:rsidRPr="00C92C3F">
        <w:rPr>
          <w:noProof/>
        </w:rPr>
        <w:drawing>
          <wp:inline distT="0" distB="0" distL="0" distR="0">
            <wp:extent cx="5683885" cy="2516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20" w:rsidRPr="009B2A20" w:rsidRDefault="003C5777" w:rsidP="009B2A20">
      <w:pPr>
        <w:pStyle w:val="BodyText2"/>
        <w:ind w:firstLine="360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Πηγή: ICAP Group -</w:t>
      </w:r>
      <w:r w:rsidR="009B2A20" w:rsidRPr="009B2A20">
        <w:rPr>
          <w:rFonts w:ascii="Tahoma" w:hAnsi="Tahoma" w:cs="Tahoma"/>
          <w:i/>
          <w:sz w:val="18"/>
          <w:szCs w:val="18"/>
        </w:rPr>
        <w:t xml:space="preserve"> Επιχειρήσεις του κλάδου</w:t>
      </w:r>
    </w:p>
    <w:p w:rsidR="009B2A20" w:rsidRDefault="009B2A20" w:rsidP="007D18DF">
      <w:pPr>
        <w:pStyle w:val="BodyText2"/>
        <w:ind w:firstLine="360"/>
        <w:rPr>
          <w:rFonts w:ascii="Tahoma" w:hAnsi="Tahoma" w:cs="Tahoma"/>
          <w:sz w:val="22"/>
          <w:szCs w:val="24"/>
        </w:rPr>
      </w:pPr>
    </w:p>
    <w:p w:rsidR="003C5777" w:rsidRDefault="003C5777" w:rsidP="003C5777">
      <w:pPr>
        <w:spacing w:line="360" w:lineRule="auto"/>
        <w:jc w:val="both"/>
        <w:rPr>
          <w:rFonts w:ascii="Tahoma" w:eastAsiaTheme="minorHAnsi" w:hAnsi="Tahoma" w:cs="Tahoma"/>
          <w:sz w:val="21"/>
          <w:szCs w:val="21"/>
          <w:lang w:val="el-GR"/>
        </w:rPr>
      </w:pPr>
      <w:r>
        <w:rPr>
          <w:rFonts w:ascii="Tahoma" w:hAnsi="Tahoma" w:cs="Tahoma"/>
          <w:sz w:val="22"/>
          <w:lang w:val="el-GR"/>
        </w:rPr>
        <w:tab/>
      </w:r>
      <w:r w:rsidR="00C92C3F">
        <w:rPr>
          <w:rFonts w:ascii="Tahoma" w:hAnsi="Tahoma" w:cs="Tahoma"/>
          <w:sz w:val="22"/>
          <w:lang w:val="el-GR"/>
        </w:rPr>
        <w:t xml:space="preserve">Ο κος Ταβουλάρης επισημαίνει ότι η </w:t>
      </w:r>
      <w:r w:rsidR="000C238A" w:rsidRPr="00C92C3F">
        <w:rPr>
          <w:rFonts w:ascii="Tahoma" w:eastAsiaTheme="minorHAnsi" w:hAnsi="Tahoma" w:cs="Tahoma"/>
          <w:sz w:val="21"/>
          <w:szCs w:val="21"/>
          <w:lang w:val="el-GR"/>
        </w:rPr>
        <w:t>εγχώρια αγορά</w:t>
      </w:r>
      <w:r w:rsidRPr="00C92C3F">
        <w:rPr>
          <w:rFonts w:ascii="Tahoma" w:eastAsiaTheme="minorHAnsi" w:hAnsi="Tahoma" w:cs="Tahoma"/>
          <w:sz w:val="21"/>
          <w:szCs w:val="21"/>
          <w:lang w:val="el-GR"/>
        </w:rPr>
        <w:t xml:space="preserve"> των ιδιωτικών υπηρεσιών ασφαλείας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 παρουσίασε σημαντική ύφεση την περίοδο 2011-2014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 xml:space="preserve">και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απώλεσε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 xml:space="preserve">σωρευτικά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το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>22,1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% της αξίας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 xml:space="preserve">της.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Εντούτοις, η αρνητική πορεία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 xml:space="preserve">της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ανακόπηκε το 2015 </w:t>
      </w:r>
      <w:r w:rsidR="000C238A">
        <w:rPr>
          <w:rFonts w:ascii="Tahoma" w:eastAsiaTheme="minorHAnsi" w:hAnsi="Tahoma" w:cs="Tahoma"/>
          <w:sz w:val="21"/>
          <w:szCs w:val="21"/>
          <w:lang w:val="el-GR"/>
        </w:rPr>
        <w:t xml:space="preserve">και το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2016 </w:t>
      </w:r>
      <w:r w:rsidR="009120D8">
        <w:rPr>
          <w:rFonts w:ascii="Tahoma" w:eastAsiaTheme="minorHAnsi" w:hAnsi="Tahoma" w:cs="Tahoma"/>
          <w:sz w:val="21"/>
          <w:szCs w:val="21"/>
          <w:lang w:val="el-GR"/>
        </w:rPr>
        <w:t xml:space="preserve">όπου κινήθηκε σταθεροποιητικά. 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Ωστόσο, το </w:t>
      </w:r>
      <w:r w:rsidRPr="000C238A">
        <w:rPr>
          <w:rFonts w:ascii="Tahoma" w:eastAsiaTheme="minorHAnsi" w:hAnsi="Tahoma" w:cs="Tahoma"/>
          <w:b/>
          <w:sz w:val="21"/>
          <w:szCs w:val="21"/>
          <w:lang w:val="el-GR"/>
        </w:rPr>
        <w:t>2017</w:t>
      </w:r>
      <w:r w:rsidR="009120D8">
        <w:rPr>
          <w:rFonts w:ascii="Tahoma" w:eastAsiaTheme="minorHAnsi" w:hAnsi="Tahoma" w:cs="Tahoma"/>
          <w:b/>
          <w:sz w:val="21"/>
          <w:szCs w:val="21"/>
          <w:lang w:val="el-GR"/>
        </w:rPr>
        <w:t xml:space="preserve"> </w:t>
      </w:r>
      <w:r w:rsidR="009120D8" w:rsidRPr="009120D8">
        <w:rPr>
          <w:rFonts w:ascii="Tahoma" w:eastAsiaTheme="minorHAnsi" w:hAnsi="Tahoma" w:cs="Tahoma"/>
          <w:sz w:val="21"/>
          <w:szCs w:val="21"/>
          <w:lang w:val="el-GR"/>
        </w:rPr>
        <w:t>αποτέλεσε την πρώτη χρόνια</w:t>
      </w:r>
      <w:r w:rsidR="009120D8">
        <w:rPr>
          <w:rFonts w:ascii="Tahoma" w:eastAsiaTheme="minorHAnsi" w:hAnsi="Tahoma" w:cs="Tahoma"/>
          <w:sz w:val="21"/>
          <w:szCs w:val="21"/>
          <w:lang w:val="el-GR"/>
        </w:rPr>
        <w:t>,</w:t>
      </w:r>
      <w:r w:rsidR="009120D8" w:rsidRPr="009120D8">
        <w:rPr>
          <w:rFonts w:ascii="Tahoma" w:eastAsiaTheme="minorHAnsi" w:hAnsi="Tahoma" w:cs="Tahoma"/>
          <w:sz w:val="21"/>
          <w:szCs w:val="21"/>
          <w:lang w:val="el-GR"/>
        </w:rPr>
        <w:t xml:space="preserve"> </w:t>
      </w:r>
      <w:r w:rsidR="009120D8">
        <w:rPr>
          <w:rFonts w:ascii="Tahoma" w:eastAsiaTheme="minorHAnsi" w:hAnsi="Tahoma" w:cs="Tahoma"/>
          <w:sz w:val="21"/>
          <w:szCs w:val="21"/>
          <w:lang w:val="el-GR"/>
        </w:rPr>
        <w:t>μετά το 2009, που αυξήθηκε σε σχετικά μεγάλο βαθμό (</w:t>
      </w:r>
      <w:r w:rsidR="009120D8" w:rsidRPr="009120D8">
        <w:rPr>
          <w:rFonts w:ascii="Tahoma" w:eastAsiaTheme="minorHAnsi" w:hAnsi="Tahoma" w:cs="Tahoma"/>
          <w:b/>
          <w:sz w:val="21"/>
          <w:szCs w:val="21"/>
          <w:lang w:val="el-GR"/>
        </w:rPr>
        <w:t>+</w:t>
      </w:r>
      <w:r w:rsidRPr="009120D8">
        <w:rPr>
          <w:rFonts w:ascii="Tahoma" w:eastAsiaTheme="minorHAnsi" w:hAnsi="Tahoma" w:cs="Tahoma"/>
          <w:b/>
          <w:sz w:val="21"/>
          <w:szCs w:val="21"/>
          <w:lang w:val="el-GR"/>
        </w:rPr>
        <w:t>2,8%</w:t>
      </w:r>
      <w:r w:rsidR="009120D8">
        <w:rPr>
          <w:rFonts w:ascii="Tahoma" w:eastAsiaTheme="minorHAnsi" w:hAnsi="Tahoma" w:cs="Tahoma"/>
          <w:sz w:val="21"/>
          <w:szCs w:val="21"/>
          <w:lang w:val="el-GR"/>
        </w:rPr>
        <w:t>) σε ετήσια βάση</w:t>
      </w:r>
      <w:r w:rsidRPr="000C238A">
        <w:rPr>
          <w:rFonts w:ascii="Tahoma" w:eastAsiaTheme="minorHAnsi" w:hAnsi="Tahoma" w:cs="Tahoma"/>
          <w:sz w:val="21"/>
          <w:szCs w:val="21"/>
          <w:lang w:val="el-GR"/>
        </w:rPr>
        <w:t xml:space="preserve">. </w:t>
      </w:r>
    </w:p>
    <w:p w:rsidR="009120D8" w:rsidRPr="000C238A" w:rsidRDefault="009120D8" w:rsidP="003C5777">
      <w:pPr>
        <w:spacing w:line="360" w:lineRule="auto"/>
        <w:jc w:val="both"/>
        <w:rPr>
          <w:rFonts w:ascii="Tahoma" w:eastAsiaTheme="minorHAnsi" w:hAnsi="Tahoma" w:cs="Tahoma"/>
          <w:sz w:val="21"/>
          <w:szCs w:val="21"/>
          <w:lang w:val="el-GR"/>
        </w:rPr>
      </w:pPr>
      <w:r>
        <w:rPr>
          <w:rFonts w:ascii="Tahoma" w:eastAsiaTheme="minorHAnsi" w:hAnsi="Tahoma" w:cs="Tahoma"/>
          <w:sz w:val="21"/>
          <w:szCs w:val="21"/>
          <w:lang w:val="el-GR"/>
        </w:rPr>
        <w:tab/>
        <w:t xml:space="preserve">Οι κυριότεροι παράγοντες </w:t>
      </w:r>
      <w:r w:rsidR="006460D7">
        <w:rPr>
          <w:rFonts w:ascii="Tahoma" w:eastAsiaTheme="minorHAnsi" w:hAnsi="Tahoma" w:cs="Tahoma"/>
          <w:sz w:val="21"/>
          <w:szCs w:val="21"/>
          <w:lang w:val="el-GR"/>
        </w:rPr>
        <w:t>της αύξησης αυτής μπορούν να εντοπιστούν στην</w:t>
      </w:r>
      <w:r>
        <w:rPr>
          <w:rFonts w:ascii="Tahoma" w:eastAsiaTheme="minorHAnsi" w:hAnsi="Tahoma" w:cs="Tahoma"/>
          <w:sz w:val="21"/>
          <w:szCs w:val="21"/>
          <w:lang w:val="el-GR"/>
        </w:rPr>
        <w:t xml:space="preserve"> επαναφορά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 xml:space="preserve"> της οικονομίας σε σχετικά ομαλότερη πορεία σε σ</w:t>
      </w:r>
      <w:r>
        <w:rPr>
          <w:rFonts w:ascii="Tahoma" w:eastAsiaTheme="minorHAnsi" w:hAnsi="Tahoma" w:cs="Tahoma"/>
          <w:sz w:val="21"/>
          <w:szCs w:val="21"/>
          <w:lang w:val="el-GR"/>
        </w:rPr>
        <w:t>χέση με την τετραετία 2009-2013 και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 xml:space="preserve"> </w:t>
      </w:r>
      <w:r w:rsidR="006460D7">
        <w:rPr>
          <w:rFonts w:ascii="Tahoma" w:eastAsiaTheme="minorHAnsi" w:hAnsi="Tahoma" w:cs="Tahoma"/>
          <w:sz w:val="21"/>
          <w:szCs w:val="21"/>
          <w:lang w:val="el-GR"/>
        </w:rPr>
        <w:t>στ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 xml:space="preserve">η </w:t>
      </w:r>
      <w:r>
        <w:rPr>
          <w:rFonts w:ascii="Tahoma" w:eastAsiaTheme="minorHAnsi" w:hAnsi="Tahoma" w:cs="Tahoma"/>
          <w:sz w:val="21"/>
          <w:szCs w:val="21"/>
          <w:lang w:val="el-GR"/>
        </w:rPr>
        <w:t xml:space="preserve">σημαντική </w:t>
      </w:r>
      <w:r w:rsidR="006460D7">
        <w:rPr>
          <w:rFonts w:ascii="Tahoma" w:eastAsiaTheme="minorHAnsi" w:hAnsi="Tahoma" w:cs="Tahoma"/>
          <w:sz w:val="21"/>
          <w:szCs w:val="21"/>
          <w:lang w:val="el-GR"/>
        </w:rPr>
        <w:t>άνοδο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 xml:space="preserve"> που παρατηρείται στον τομέα του τουρισμού </w:t>
      </w:r>
      <w:r w:rsidR="006460D7">
        <w:rPr>
          <w:rFonts w:ascii="Tahoma" w:eastAsiaTheme="minorHAnsi" w:hAnsi="Tahoma" w:cs="Tahoma"/>
          <w:sz w:val="21"/>
          <w:szCs w:val="21"/>
          <w:lang w:val="el-GR"/>
        </w:rPr>
        <w:t xml:space="preserve">που 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>ευνοεί εμμέσως, εταιρείες που προσφέρουν υπηρεσίες ασφα</w:t>
      </w:r>
      <w:r w:rsidR="006460D7">
        <w:rPr>
          <w:rFonts w:ascii="Tahoma" w:eastAsiaTheme="minorHAnsi" w:hAnsi="Tahoma" w:cs="Tahoma"/>
          <w:sz w:val="21"/>
          <w:szCs w:val="21"/>
          <w:lang w:val="el-GR"/>
        </w:rPr>
        <w:t>λείας σε αεροδρόμια και λιμάνια</w:t>
      </w:r>
      <w:r w:rsidRPr="009120D8">
        <w:rPr>
          <w:rFonts w:ascii="Tahoma" w:eastAsiaTheme="minorHAnsi" w:hAnsi="Tahoma" w:cs="Tahoma"/>
          <w:sz w:val="21"/>
          <w:szCs w:val="21"/>
          <w:lang w:val="el-GR"/>
        </w:rPr>
        <w:t>.</w:t>
      </w:r>
    </w:p>
    <w:p w:rsidR="006460D7" w:rsidRDefault="006460D7">
      <w:pPr>
        <w:rPr>
          <w:rFonts w:ascii="Tahoma" w:hAnsi="Tahoma" w:cs="Tahoma"/>
          <w:sz w:val="22"/>
          <w:lang w:val="el-GR"/>
        </w:rPr>
      </w:pPr>
    </w:p>
    <w:p w:rsidR="00CD2E91" w:rsidRDefault="00CD2E91" w:rsidP="007D18DF">
      <w:pPr>
        <w:pStyle w:val="BodyText2"/>
        <w:rPr>
          <w:rFonts w:ascii="Tahoma" w:hAnsi="Tahoma" w:cs="Tahoma"/>
          <w:sz w:val="22"/>
        </w:rPr>
      </w:pPr>
    </w:p>
    <w:p w:rsidR="00311BEE" w:rsidRDefault="00311BEE" w:rsidP="007D18DF">
      <w:pPr>
        <w:pStyle w:val="BodyText2"/>
        <w:rPr>
          <w:rFonts w:ascii="Tahoma" w:hAnsi="Tahoma" w:cs="Tahoma"/>
          <w:sz w:val="22"/>
        </w:rPr>
      </w:pPr>
    </w:p>
    <w:p w:rsidR="00311BEE" w:rsidRDefault="00311BEE" w:rsidP="007D18DF">
      <w:pPr>
        <w:pStyle w:val="BodyText2"/>
        <w:rPr>
          <w:rFonts w:ascii="Tahoma" w:hAnsi="Tahoma" w:cs="Tahoma"/>
          <w:sz w:val="22"/>
        </w:rPr>
      </w:pPr>
    </w:p>
    <w:p w:rsidR="00311BEE" w:rsidRPr="00D8133D" w:rsidRDefault="00311BEE" w:rsidP="007D18DF">
      <w:pPr>
        <w:pStyle w:val="BodyText2"/>
        <w:rPr>
          <w:rFonts w:ascii="Tahoma" w:hAnsi="Tahoma" w:cs="Tahoma"/>
          <w:sz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F314F" w:rsidRPr="00311BEE" w:rsidTr="00AB1691">
        <w:tc>
          <w:tcPr>
            <w:tcW w:w="9606" w:type="dxa"/>
            <w:shd w:val="clear" w:color="auto" w:fill="auto"/>
          </w:tcPr>
          <w:p w:rsidR="002F314F" w:rsidRPr="00AB1691" w:rsidRDefault="00C45C70" w:rsidP="007D18D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lastRenderedPageBreak/>
              <w:t xml:space="preserve">Δείκτης εξέλιξης </w:t>
            </w:r>
            <w:r w:rsidRPr="00C45C70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συνολικής αγοράς ιδιωτικών υπηρεσιών ασφαλείας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3C5777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(2011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-2017</w:t>
            </w:r>
            <w:r w:rsidR="003C5814" w:rsidRPr="003C5814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)</w:t>
            </w:r>
          </w:p>
        </w:tc>
      </w:tr>
      <w:tr w:rsidR="002F314F" w:rsidRPr="006F34B8" w:rsidTr="00C45C70">
        <w:trPr>
          <w:trHeight w:val="3628"/>
        </w:trPr>
        <w:tc>
          <w:tcPr>
            <w:tcW w:w="9606" w:type="dxa"/>
            <w:shd w:val="clear" w:color="auto" w:fill="auto"/>
          </w:tcPr>
          <w:p w:rsidR="002F314F" w:rsidRPr="00AB1691" w:rsidRDefault="000C238A" w:rsidP="007D18DF">
            <w:pPr>
              <w:spacing w:line="360" w:lineRule="auto"/>
              <w:jc w:val="center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noProof/>
                <w:sz w:val="26"/>
                <w:szCs w:val="26"/>
                <w:lang w:val="en-US"/>
              </w:rPr>
              <w:drawing>
                <wp:inline distT="0" distB="0" distL="0" distR="0" wp14:anchorId="35085487">
                  <wp:extent cx="5760000" cy="2340000"/>
                  <wp:effectExtent l="0" t="0" r="0" b="3175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14F" w:rsidRPr="00311BEE" w:rsidTr="00AB1691">
        <w:trPr>
          <w:trHeight w:val="475"/>
        </w:trPr>
        <w:tc>
          <w:tcPr>
            <w:tcW w:w="9606" w:type="dxa"/>
            <w:shd w:val="clear" w:color="auto" w:fill="auto"/>
          </w:tcPr>
          <w:p w:rsidR="002F314F" w:rsidRPr="00F97B42" w:rsidRDefault="003C5777" w:rsidP="007D18DF">
            <w:pPr>
              <w:spacing w:line="360" w:lineRule="auto"/>
              <w:ind w:right="318"/>
              <w:jc w:val="right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Έτος βάσης 2011 </w:t>
            </w:r>
            <w:r w:rsidR="002F314F"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= 100                                                                                                                                Πηγή: </w:t>
            </w:r>
            <w:r w:rsidR="002F314F" w:rsidRPr="00F97B42">
              <w:rPr>
                <w:rFonts w:ascii="Tahoma" w:hAnsi="Tahoma" w:cs="Tahoma"/>
                <w:i/>
                <w:sz w:val="18"/>
                <w:szCs w:val="18"/>
                <w:lang w:val="en-US"/>
              </w:rPr>
              <w:t>ICAP</w:t>
            </w:r>
            <w:r w:rsidR="002F314F"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="002F314F" w:rsidRPr="00F97B42">
              <w:rPr>
                <w:rFonts w:ascii="Tahoma" w:hAnsi="Tahoma" w:cs="Tahoma"/>
                <w:i/>
                <w:sz w:val="18"/>
                <w:szCs w:val="18"/>
                <w:lang w:val="en-US"/>
              </w:rPr>
              <w:t>Group</w:t>
            </w: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="002F314F"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>- Εκτιμήσεις αγοράς</w:t>
            </w:r>
          </w:p>
        </w:tc>
      </w:tr>
    </w:tbl>
    <w:p w:rsidR="00024143" w:rsidRPr="00D8133D" w:rsidRDefault="00024143" w:rsidP="007D18DF">
      <w:pPr>
        <w:pStyle w:val="a0"/>
        <w:ind w:firstLine="0"/>
        <w:rPr>
          <w:rFonts w:ascii="Tahoma" w:hAnsi="Tahoma" w:cs="Tahoma"/>
          <w:szCs w:val="20"/>
        </w:rPr>
      </w:pPr>
    </w:p>
    <w:p w:rsidR="00A72FEE" w:rsidRPr="00A72FEE" w:rsidRDefault="0093778D" w:rsidP="00A72FEE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85690">
        <w:rPr>
          <w:rFonts w:ascii="Tahoma" w:hAnsi="Tahoma" w:cs="Tahoma"/>
        </w:rPr>
        <w:t xml:space="preserve">Οι </w:t>
      </w:r>
      <w:r w:rsidR="00685690" w:rsidRPr="00685690">
        <w:rPr>
          <w:rFonts w:ascii="Tahoma" w:hAnsi="Tahoma" w:cs="Tahoma"/>
          <w:b/>
        </w:rPr>
        <w:t>συνολικές πωλήσεις</w:t>
      </w:r>
      <w:r w:rsidR="00685690">
        <w:rPr>
          <w:rFonts w:ascii="Tahoma" w:hAnsi="Tahoma" w:cs="Tahoma"/>
        </w:rPr>
        <w:t xml:space="preserve"> των </w:t>
      </w:r>
      <w:r w:rsidR="00685690" w:rsidRPr="00685690">
        <w:rPr>
          <w:rFonts w:ascii="Tahoma" w:hAnsi="Tahoma" w:cs="Tahoma"/>
          <w:b/>
        </w:rPr>
        <w:t>ηλεκτρονικών συστημάτων ασφαλείας</w:t>
      </w:r>
      <w:r w:rsidR="00A72FEE" w:rsidRPr="00A72FEE">
        <w:rPr>
          <w:rFonts w:ascii="Tahoma" w:hAnsi="Tahoma" w:cs="Tahoma"/>
        </w:rPr>
        <w:t xml:space="preserve"> </w:t>
      </w:r>
      <w:r w:rsidR="00685690">
        <w:rPr>
          <w:rFonts w:ascii="Tahoma" w:hAnsi="Tahoma" w:cs="Tahoma"/>
        </w:rPr>
        <w:t>παρουσίασαν σωρευτική μείωση 15,9% από το 2011</w:t>
      </w:r>
      <w:r w:rsidR="00A72FEE" w:rsidRPr="00A72FEE">
        <w:rPr>
          <w:rFonts w:ascii="Tahoma" w:hAnsi="Tahoma" w:cs="Tahoma"/>
        </w:rPr>
        <w:t xml:space="preserve"> έως και το 2015, αλ</w:t>
      </w:r>
      <w:r w:rsidR="00685690">
        <w:rPr>
          <w:rFonts w:ascii="Tahoma" w:hAnsi="Tahoma" w:cs="Tahoma"/>
        </w:rPr>
        <w:t>λά τα τελευταία δυο έτη κατάφεραν να αντιστρέψουν την καθοδική τους πορεία και παρουσίασαν</w:t>
      </w:r>
      <w:r w:rsidR="00A72FEE" w:rsidRPr="00A72FEE">
        <w:rPr>
          <w:rFonts w:ascii="Tahoma" w:hAnsi="Tahoma" w:cs="Tahoma"/>
        </w:rPr>
        <w:t xml:space="preserve"> ανοδικές τάσεις. Πι</w:t>
      </w:r>
      <w:r w:rsidR="00685690">
        <w:rPr>
          <w:rFonts w:ascii="Tahoma" w:hAnsi="Tahoma" w:cs="Tahoma"/>
        </w:rPr>
        <w:t>ο συγκεκριμένα, το 2016 αυξήθηκαν</w:t>
      </w:r>
      <w:r w:rsidR="00A72FEE" w:rsidRPr="00A72FEE">
        <w:rPr>
          <w:rFonts w:ascii="Tahoma" w:hAnsi="Tahoma" w:cs="Tahoma"/>
        </w:rPr>
        <w:t xml:space="preserve"> κατά 3,8% και το 2017 κατά 5,2%. </w:t>
      </w:r>
    </w:p>
    <w:p w:rsidR="005D03E1" w:rsidRDefault="00A72FEE" w:rsidP="00A72FEE">
      <w:pPr>
        <w:pStyle w:val="a0"/>
        <w:ind w:firstLine="0"/>
        <w:rPr>
          <w:rFonts w:ascii="Tahoma" w:hAnsi="Tahoma" w:cs="Tahoma"/>
        </w:rPr>
      </w:pPr>
      <w:r w:rsidRPr="00A72FEE">
        <w:rPr>
          <w:rFonts w:ascii="Tahoma" w:hAnsi="Tahoma" w:cs="Tahoma"/>
        </w:rPr>
        <w:tab/>
        <w:t>Σύμφωνα με παράγοντες του κλάδου, τα υψηλά επίπεδα εγκληματικότητας τα τελευταία έτη έχουν ενισχύσει τη ζήτηση σε ορισμένες κατηγορίες προϊόντων. Η ζήτηση για συστήματα συναγερμών φαίνεται να έχει επηρεαστεί λιγότερο, σε σύγκριση με άλλα προϊόντα (π.χ. συστήματα πυρανίχνευσης, η ζήτηση των οποίων συνδέεται και με την πορεία του κατασκευαστικού κλάδου).</w:t>
      </w:r>
    </w:p>
    <w:p w:rsidR="005D03E1" w:rsidRDefault="005D03E1">
      <w:pPr>
        <w:rPr>
          <w:rFonts w:ascii="Tahoma" w:hAnsi="Tahoma" w:cs="Tahoma"/>
          <w:sz w:val="22"/>
          <w:lang w:val="el-GR"/>
        </w:rPr>
      </w:pPr>
      <w:r w:rsidRPr="005711DF">
        <w:rPr>
          <w:rFonts w:ascii="Tahoma" w:hAnsi="Tahoma" w:cs="Tahoma"/>
          <w:lang w:val="el-GR"/>
        </w:rPr>
        <w:br w:type="page"/>
      </w:r>
    </w:p>
    <w:p w:rsidR="00024143" w:rsidRDefault="00024143" w:rsidP="007D18DF">
      <w:pPr>
        <w:pStyle w:val="a0"/>
        <w:ind w:firstLine="0"/>
        <w:rPr>
          <w:rFonts w:ascii="Tahoma" w:hAnsi="Tahoma" w:cs="Tahom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5D03E1" w:rsidRPr="00E52C3D" w:rsidTr="001D50DB">
        <w:tc>
          <w:tcPr>
            <w:tcW w:w="9606" w:type="dxa"/>
            <w:shd w:val="clear" w:color="auto" w:fill="auto"/>
          </w:tcPr>
          <w:p w:rsidR="00A72FEE" w:rsidRDefault="005D03E1" w:rsidP="00A72FE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Δείκτης εξέλιξης </w:t>
            </w:r>
            <w:r w:rsidR="00A72FEE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συνολικών πωλήσεων ηλεκτρονικών συστημάτων ασφαλείας</w:t>
            </w:r>
          </w:p>
          <w:p w:rsidR="005D03E1" w:rsidRPr="00AB1691" w:rsidRDefault="005D03E1" w:rsidP="00A72FE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(2011-2017</w:t>
            </w:r>
            <w:r w:rsidRPr="003C5814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)</w:t>
            </w:r>
          </w:p>
        </w:tc>
      </w:tr>
      <w:tr w:rsidR="005D03E1" w:rsidRPr="006F34B8" w:rsidTr="001D50DB">
        <w:trPr>
          <w:trHeight w:val="3628"/>
        </w:trPr>
        <w:tc>
          <w:tcPr>
            <w:tcW w:w="9606" w:type="dxa"/>
            <w:shd w:val="clear" w:color="auto" w:fill="auto"/>
          </w:tcPr>
          <w:p w:rsidR="005D03E1" w:rsidRPr="00AB1691" w:rsidRDefault="00A72FEE" w:rsidP="001D50DB">
            <w:pPr>
              <w:spacing w:line="360" w:lineRule="auto"/>
              <w:jc w:val="center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noProof/>
                <w:sz w:val="26"/>
                <w:szCs w:val="26"/>
                <w:lang w:val="en-US"/>
              </w:rPr>
              <w:drawing>
                <wp:inline distT="0" distB="0" distL="0" distR="0" wp14:anchorId="7CFEBB9E">
                  <wp:extent cx="5760000" cy="2340000"/>
                  <wp:effectExtent l="0" t="0" r="0" b="3175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E1" w:rsidRPr="00311BEE" w:rsidTr="001D50DB">
        <w:trPr>
          <w:trHeight w:val="475"/>
        </w:trPr>
        <w:tc>
          <w:tcPr>
            <w:tcW w:w="9606" w:type="dxa"/>
            <w:shd w:val="clear" w:color="auto" w:fill="auto"/>
          </w:tcPr>
          <w:p w:rsidR="005D03E1" w:rsidRPr="00F97B42" w:rsidRDefault="005D03E1" w:rsidP="001D50DB">
            <w:pPr>
              <w:spacing w:line="360" w:lineRule="auto"/>
              <w:ind w:right="318"/>
              <w:jc w:val="right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Έτος βάσης 2011 </w:t>
            </w:r>
            <w:r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= 100                                                                                                                                Πηγή: </w:t>
            </w:r>
            <w:r w:rsidRPr="00F97B42">
              <w:rPr>
                <w:rFonts w:ascii="Tahoma" w:hAnsi="Tahoma" w:cs="Tahoma"/>
                <w:i/>
                <w:sz w:val="18"/>
                <w:szCs w:val="18"/>
                <w:lang w:val="en-US"/>
              </w:rPr>
              <w:t>ICAP</w:t>
            </w:r>
            <w:r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Pr="00F97B42">
              <w:rPr>
                <w:rFonts w:ascii="Tahoma" w:hAnsi="Tahoma" w:cs="Tahoma"/>
                <w:i/>
                <w:sz w:val="18"/>
                <w:szCs w:val="18"/>
                <w:lang w:val="en-US"/>
              </w:rPr>
              <w:t>Group</w:t>
            </w: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Pr="00F97B42">
              <w:rPr>
                <w:rFonts w:ascii="Tahoma" w:hAnsi="Tahoma" w:cs="Tahoma"/>
                <w:i/>
                <w:sz w:val="18"/>
                <w:szCs w:val="18"/>
                <w:lang w:val="el-GR"/>
              </w:rPr>
              <w:t>- Εκτιμήσεις αγοράς</w:t>
            </w:r>
          </w:p>
        </w:tc>
      </w:tr>
    </w:tbl>
    <w:p w:rsidR="00685690" w:rsidRDefault="00685690" w:rsidP="007D18DF">
      <w:pPr>
        <w:pStyle w:val="a0"/>
        <w:ind w:firstLine="0"/>
        <w:rPr>
          <w:rFonts w:ascii="Tahoma" w:hAnsi="Tahoma" w:cs="Tahoma"/>
        </w:rPr>
      </w:pPr>
    </w:p>
    <w:p w:rsidR="005877F6" w:rsidRPr="005877F6" w:rsidRDefault="005D778A" w:rsidP="005877F6">
      <w:pPr>
        <w:pStyle w:val="a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Όσον αφορά τον </w:t>
      </w:r>
      <w:r w:rsidRPr="005877F6">
        <w:rPr>
          <w:rFonts w:ascii="Tahoma" w:hAnsi="Tahoma" w:cs="Tahoma"/>
          <w:b/>
        </w:rPr>
        <w:t>ομαδοποιημένο ισολογισμό</w:t>
      </w:r>
      <w:r w:rsidR="005877F6">
        <w:rPr>
          <w:rFonts w:ascii="Tahoma" w:hAnsi="Tahoma" w:cs="Tahoma"/>
        </w:rPr>
        <w:t xml:space="preserve"> των </w:t>
      </w:r>
      <w:r w:rsidR="005877F6" w:rsidRPr="005877F6">
        <w:rPr>
          <w:rFonts w:ascii="Tahoma" w:hAnsi="Tahoma" w:cs="Tahoma"/>
        </w:rPr>
        <w:t>επιχειρήσεων του κλάδου</w:t>
      </w:r>
      <w:r w:rsidR="005877F6">
        <w:rPr>
          <w:rFonts w:ascii="Tahoma" w:hAnsi="Tahoma" w:cs="Tahoma"/>
        </w:rPr>
        <w:t xml:space="preserve"> των </w:t>
      </w:r>
      <w:r w:rsidR="005877F6" w:rsidRPr="0018503F">
        <w:rPr>
          <w:rFonts w:ascii="Tahoma" w:hAnsi="Tahoma" w:cs="Tahoma"/>
          <w:b/>
        </w:rPr>
        <w:t>ιδιωτικών υπηρεσιών ασφαλείας</w:t>
      </w:r>
      <w:r w:rsidR="005877F6" w:rsidRPr="005877F6">
        <w:rPr>
          <w:rFonts w:ascii="Tahoma" w:hAnsi="Tahoma" w:cs="Tahoma"/>
        </w:rPr>
        <w:t xml:space="preserve"> </w:t>
      </w:r>
      <w:r w:rsidR="005711DF" w:rsidRPr="005711DF">
        <w:rPr>
          <w:rFonts w:ascii="Tahoma" w:hAnsi="Tahoma" w:cs="Tahoma"/>
        </w:rPr>
        <w:t>(</w:t>
      </w:r>
      <w:r w:rsidR="005711DF">
        <w:rPr>
          <w:rFonts w:ascii="Tahoma" w:hAnsi="Tahoma" w:cs="Tahoma"/>
        </w:rPr>
        <w:t xml:space="preserve">δείγμα 19 εταιρείες) </w:t>
      </w:r>
      <w:r w:rsidR="005877F6">
        <w:rPr>
          <w:rFonts w:ascii="Tahoma" w:hAnsi="Tahoma" w:cs="Tahoma"/>
        </w:rPr>
        <w:t>παρατηρείται ότι τ</w:t>
      </w:r>
      <w:r w:rsidR="005877F6" w:rsidRPr="005877F6">
        <w:rPr>
          <w:rFonts w:ascii="Tahoma" w:hAnsi="Tahoma" w:cs="Tahoma"/>
        </w:rPr>
        <w:t>ο σύνολο του ενεργητικού των εταιρειών του δείγματος παρέμεινε σχετικά σταθερό την πενταετία</w:t>
      </w:r>
      <w:r w:rsidR="0018503F">
        <w:rPr>
          <w:rFonts w:ascii="Tahoma" w:hAnsi="Tahoma" w:cs="Tahoma"/>
        </w:rPr>
        <w:t xml:space="preserve"> 2012-2016</w:t>
      </w:r>
      <w:r w:rsidR="005877F6" w:rsidRPr="005877F6">
        <w:rPr>
          <w:rFonts w:ascii="Tahoma" w:hAnsi="Tahoma" w:cs="Tahoma"/>
        </w:rPr>
        <w:t xml:space="preserve"> και διαμορφώθηκε σε €99,3 εκατ. το 2016. Τα ίδια κεφάλαια αυξήθηκαν σημαντικά και ανήλθαν στα €48,7 εκατ. αυξημένα κατά 10,6% σε σχέση με το 2012. Οι μεσομακροπρόθεσμες υποχρεώσεις και προβλέψεις παρουσίασαν σημαντικές αυξομειώσεις, ενώ οι βραχυπρόθεσμες υποχρεώσεις μειώθηκαν κατά 10,1% την περίοδο 2012-2016.</w:t>
      </w:r>
    </w:p>
    <w:p w:rsidR="00960A39" w:rsidRDefault="0018503F" w:rsidP="005877F6">
      <w:pPr>
        <w:pStyle w:val="a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877F6" w:rsidRPr="005877F6">
        <w:rPr>
          <w:rFonts w:ascii="Tahoma" w:hAnsi="Tahoma" w:cs="Tahoma"/>
        </w:rPr>
        <w:t xml:space="preserve">Οι συνολικές πωλήσεις των εταιρειών παρουσίασαν σημαντική πτώση την τριετία 2012-2014 (-6,8%), ενώ τη διετία 2015-2016 αυξήθηκαν ελαφρώς στα €166,2 εκατ. και διευρύνθηκαν κατά 1,3%. Τα μικτά κέρδη μειώθηκαν σε μεγάλο βαθμό το 2016 (2016/15: -10%) και η εξέλιξη αυτή επηρέασε σημαντικά  τα λειτουργικά αποτελέσματα (2016/15: -44,5%).  Αντιστοίχως, τα καθαρά κέρδη (2016/15: -44,5%) και τα EBITDA (-35,1%) κινήθηκαν έντονα πτωτικά το 2016. </w:t>
      </w:r>
    </w:p>
    <w:p w:rsidR="009746CA" w:rsidRDefault="009746CA" w:rsidP="005877F6">
      <w:pPr>
        <w:pStyle w:val="a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Οι </w:t>
      </w:r>
      <w:r w:rsidRPr="009746CA">
        <w:rPr>
          <w:rFonts w:ascii="Tahoma" w:hAnsi="Tahoma" w:cs="Tahoma"/>
          <w:b/>
        </w:rPr>
        <w:t>δείκτες κερδοφορίας</w:t>
      </w:r>
      <w:r>
        <w:rPr>
          <w:rFonts w:ascii="Tahoma" w:hAnsi="Tahoma" w:cs="Tahoma"/>
        </w:rPr>
        <w:t xml:space="preserve"> του κλάδου παρουσίασαν σημαντικές αυξομειώσεις, αλλά σε γενικές γραμμές κινήθηκαν σε ικανοποιητικά επίπεδα.</w:t>
      </w:r>
    </w:p>
    <w:p w:rsidR="0078707B" w:rsidRDefault="00960A39" w:rsidP="007D18DF">
      <w:pPr>
        <w:pStyle w:val="a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746CA" w:rsidRDefault="009746CA" w:rsidP="007D18DF">
      <w:pPr>
        <w:pStyle w:val="a0"/>
        <w:ind w:firstLine="0"/>
        <w:rPr>
          <w:rFonts w:ascii="Tahoma" w:hAnsi="Tahoma" w:cs="Tahoma"/>
        </w:rPr>
      </w:pPr>
    </w:p>
    <w:p w:rsidR="009746CA" w:rsidRDefault="009746CA" w:rsidP="007D18DF">
      <w:pPr>
        <w:pStyle w:val="a0"/>
        <w:ind w:firstLine="0"/>
        <w:rPr>
          <w:rFonts w:ascii="Tahoma" w:hAnsi="Tahoma" w:cs="Tahoma"/>
        </w:rPr>
      </w:pPr>
    </w:p>
    <w:p w:rsidR="009746CA" w:rsidRDefault="009746CA" w:rsidP="007D18DF">
      <w:pPr>
        <w:pStyle w:val="a0"/>
        <w:ind w:firstLine="0"/>
        <w:rPr>
          <w:rFonts w:ascii="Tahoma" w:hAnsi="Tahoma" w:cs="Tahoma"/>
        </w:rPr>
      </w:pPr>
    </w:p>
    <w:p w:rsidR="00D24C4B" w:rsidRPr="00D8133D" w:rsidRDefault="00D24C4B" w:rsidP="007D18DF">
      <w:pPr>
        <w:pStyle w:val="a0"/>
        <w:ind w:firstLine="0"/>
        <w:rPr>
          <w:rFonts w:ascii="Tahoma" w:hAnsi="Tahoma" w:cs="Tahoma"/>
          <w:color w:val="FF0000"/>
        </w:rPr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9600"/>
      </w:tblGrid>
      <w:tr w:rsidR="00CE1006" w:rsidRPr="00311BEE" w:rsidTr="00677651">
        <w:trPr>
          <w:trHeight w:val="283"/>
          <w:jc w:val="center"/>
        </w:trPr>
        <w:tc>
          <w:tcPr>
            <w:tcW w:w="9600" w:type="dxa"/>
          </w:tcPr>
          <w:p w:rsidR="00CE1006" w:rsidRDefault="00030623" w:rsidP="007B20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Δείκτες Κερδοφορίας</w:t>
            </w:r>
            <w:r w:rsidR="00E74C0F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(%)</w:t>
            </w:r>
            <w:r w:rsidR="00FF1D7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του Κλάδου</w:t>
            </w:r>
            <w:r w:rsidR="009746CA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των </w:t>
            </w:r>
            <w:r w:rsidR="00FF1D7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Εταιρειών Παροχής </w:t>
            </w:r>
            <w:r w:rsidR="009746CA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Ιδιωτικών Υπηρεσιών Ασφαλείας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3739E1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(2012-2016</w:t>
            </w:r>
            <w:r w:rsidR="00CE1006" w:rsidRPr="00D8133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)</w:t>
            </w:r>
          </w:p>
          <w:p w:rsidR="009746CA" w:rsidRPr="00D8133D" w:rsidRDefault="009746CA" w:rsidP="007D18D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E1006" w:rsidRPr="00D8133D" w:rsidTr="00677651">
        <w:trPr>
          <w:trHeight w:val="283"/>
          <w:jc w:val="center"/>
        </w:trPr>
        <w:tc>
          <w:tcPr>
            <w:tcW w:w="9600" w:type="dxa"/>
            <w:vAlign w:val="center"/>
          </w:tcPr>
          <w:p w:rsidR="00CE1006" w:rsidRDefault="009746CA" w:rsidP="007D18DF">
            <w:pPr>
              <w:spacing w:line="360" w:lineRule="auto"/>
              <w:rPr>
                <w:rFonts w:ascii="Tahoma" w:hAnsi="Tahoma" w:cs="Tahoma"/>
                <w:color w:val="FF000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797BB65D">
                  <wp:extent cx="2880000" cy="2340000"/>
                  <wp:effectExtent l="0" t="0" r="0" b="3175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39B6B840">
                  <wp:extent cx="2880000" cy="2340000"/>
                  <wp:effectExtent l="0" t="0" r="0" b="3175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46CA" w:rsidRPr="00D8133D" w:rsidRDefault="009746CA" w:rsidP="007D18DF">
            <w:pPr>
              <w:spacing w:line="360" w:lineRule="auto"/>
              <w:rPr>
                <w:rFonts w:ascii="Tahoma" w:hAnsi="Tahoma" w:cs="Tahoma"/>
                <w:color w:val="FF000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204F5449">
                  <wp:extent cx="2880000" cy="2340000"/>
                  <wp:effectExtent l="0" t="0" r="0" b="3175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0299E722">
                  <wp:extent cx="2880000" cy="2340000"/>
                  <wp:effectExtent l="0" t="0" r="0" b="3175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4B" w:rsidRPr="00D8133D" w:rsidTr="00677651">
        <w:trPr>
          <w:cantSplit/>
          <w:trHeight w:val="283"/>
          <w:jc w:val="center"/>
        </w:trPr>
        <w:tc>
          <w:tcPr>
            <w:tcW w:w="9600" w:type="dxa"/>
            <w:vAlign w:val="center"/>
          </w:tcPr>
          <w:p w:rsidR="00D24C4B" w:rsidRPr="00E74C0F" w:rsidRDefault="00D24C4B" w:rsidP="007D18DF">
            <w:pPr>
              <w:spacing w:line="360" w:lineRule="auto"/>
              <w:jc w:val="right"/>
              <w:rPr>
                <w:rFonts w:ascii="Tahoma" w:hAnsi="Tahoma" w:cs="Tahoma"/>
                <w:i/>
                <w:color w:val="FF0000"/>
                <w:sz w:val="18"/>
                <w:szCs w:val="18"/>
                <w:lang w:val="el-GR"/>
              </w:rPr>
            </w:pPr>
            <w:r w:rsidRPr="00E74C0F">
              <w:rPr>
                <w:rFonts w:ascii="Tahoma" w:hAnsi="Tahoma" w:cs="Tahoma"/>
                <w:i/>
                <w:sz w:val="18"/>
                <w:szCs w:val="18"/>
                <w:lang w:val="el-GR"/>
              </w:rPr>
              <w:t>Πηγή: ICAP Group</w:t>
            </w:r>
          </w:p>
        </w:tc>
      </w:tr>
    </w:tbl>
    <w:p w:rsidR="009D2A70" w:rsidRDefault="009D2A70" w:rsidP="007D18DF">
      <w:pPr>
        <w:pStyle w:val="a0"/>
        <w:ind w:firstLine="0"/>
        <w:rPr>
          <w:rFonts w:ascii="Tahoma" w:hAnsi="Tahoma" w:cs="Tahoma"/>
          <w:i/>
          <w:sz w:val="20"/>
          <w:szCs w:val="20"/>
        </w:rPr>
      </w:pPr>
    </w:p>
    <w:p w:rsidR="00E669AB" w:rsidRDefault="00E669AB" w:rsidP="00E669AB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val="el-GR"/>
        </w:rPr>
      </w:pPr>
      <w:r>
        <w:rPr>
          <w:rFonts w:ascii="Tahoma" w:eastAsia="Calibri" w:hAnsi="Tahoma" w:cs="Tahoma"/>
          <w:sz w:val="21"/>
          <w:szCs w:val="21"/>
          <w:lang w:val="el-GR"/>
        </w:rPr>
        <w:tab/>
      </w:r>
    </w:p>
    <w:p w:rsidR="00E669AB" w:rsidRDefault="00E669AB">
      <w:pPr>
        <w:rPr>
          <w:rFonts w:ascii="Tahoma" w:eastAsia="Calibri" w:hAnsi="Tahoma" w:cs="Tahoma"/>
          <w:sz w:val="21"/>
          <w:szCs w:val="21"/>
          <w:lang w:val="el-GR"/>
        </w:rPr>
      </w:pPr>
      <w:r>
        <w:rPr>
          <w:rFonts w:ascii="Tahoma" w:eastAsia="Calibri" w:hAnsi="Tahoma" w:cs="Tahoma"/>
          <w:sz w:val="21"/>
          <w:szCs w:val="21"/>
          <w:lang w:val="el-GR"/>
        </w:rPr>
        <w:br w:type="page"/>
      </w:r>
    </w:p>
    <w:p w:rsidR="00E669AB" w:rsidRPr="007B2061" w:rsidRDefault="00E669AB" w:rsidP="00E669AB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val="el-GR"/>
        </w:rPr>
      </w:pPr>
      <w:r>
        <w:rPr>
          <w:rFonts w:ascii="Tahoma" w:eastAsia="Calibri" w:hAnsi="Tahoma" w:cs="Tahoma"/>
          <w:sz w:val="21"/>
          <w:szCs w:val="21"/>
          <w:lang w:val="el-GR"/>
        </w:rPr>
        <w:lastRenderedPageBreak/>
        <w:tab/>
        <w:t xml:space="preserve">Αναλύοντας τον </w:t>
      </w:r>
      <w:r w:rsidRPr="005711DF">
        <w:rPr>
          <w:rFonts w:ascii="Tahoma" w:eastAsia="Calibri" w:hAnsi="Tahoma" w:cs="Tahoma"/>
          <w:b/>
          <w:sz w:val="21"/>
          <w:szCs w:val="21"/>
          <w:lang w:val="el-GR"/>
        </w:rPr>
        <w:t>ομαδοποιημένο ισολογισμό</w:t>
      </w:r>
      <w:r>
        <w:rPr>
          <w:rFonts w:ascii="Tahoma" w:eastAsia="Calibri" w:hAnsi="Tahoma" w:cs="Tahoma"/>
          <w:sz w:val="21"/>
          <w:szCs w:val="21"/>
          <w:lang w:val="el-GR"/>
        </w:rPr>
        <w:t xml:space="preserve"> των εταιρειών που δραστηριοποιούνται στον κλάδο της </w:t>
      </w:r>
      <w:r w:rsidRPr="005711DF">
        <w:rPr>
          <w:rFonts w:ascii="Tahoma" w:eastAsia="Calibri" w:hAnsi="Tahoma" w:cs="Tahoma"/>
          <w:b/>
          <w:sz w:val="21"/>
          <w:szCs w:val="21"/>
          <w:lang w:val="el-GR"/>
        </w:rPr>
        <w:t>εισαγωγής ηλεκτρονικών συστημάτων ασφαλείας</w:t>
      </w:r>
      <w:r>
        <w:rPr>
          <w:rFonts w:ascii="Tahoma" w:eastAsia="Calibri" w:hAnsi="Tahoma" w:cs="Tahoma"/>
          <w:sz w:val="21"/>
          <w:szCs w:val="21"/>
          <w:lang w:val="el-GR"/>
        </w:rPr>
        <w:t xml:space="preserve"> </w:t>
      </w:r>
      <w:r w:rsidR="005711DF">
        <w:rPr>
          <w:rFonts w:ascii="Tahoma" w:eastAsia="Calibri" w:hAnsi="Tahoma" w:cs="Tahoma"/>
          <w:sz w:val="21"/>
          <w:szCs w:val="21"/>
          <w:lang w:val="el-GR"/>
        </w:rPr>
        <w:t xml:space="preserve">(δείγμα 20 εταιρειών) </w:t>
      </w:r>
      <w:r>
        <w:rPr>
          <w:rFonts w:ascii="Tahoma" w:eastAsia="Calibri" w:hAnsi="Tahoma" w:cs="Tahoma"/>
          <w:sz w:val="21"/>
          <w:szCs w:val="21"/>
          <w:lang w:val="el-GR"/>
        </w:rPr>
        <w:t>παρατηρείται ότι τ</w:t>
      </w:r>
      <w:r w:rsidRPr="009B31D6">
        <w:rPr>
          <w:rFonts w:ascii="Tahoma" w:eastAsia="Calibri" w:hAnsi="Tahoma" w:cs="Tahoma"/>
          <w:sz w:val="21"/>
          <w:szCs w:val="21"/>
          <w:lang w:val="el-GR"/>
        </w:rPr>
        <w:t xml:space="preserve">ο σύνολο του 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ενεργητικού τους κινήθηκε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ανοδικά την περίοδο 2012-2016 (σωρευτική αύξηση 12,9%) και διαμορφώθηκε σε €83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 εκατ. Τα ίδια κεφάλαια αυξήθηκαν σημαντικά</w:t>
      </w:r>
      <w:r w:rsidRPr="007B2061">
        <w:rPr>
          <w:lang w:val="el-GR"/>
        </w:rPr>
        <w:t xml:space="preserve">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κατά 23,4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%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(2016/12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>) και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 xml:space="preserve"> ανήλθαν στα €44,2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 εκατ. Οι μεσομακροπρόθεσμες υποχρεώσεις και προβλέψεις παρουσίασαν σημαντικές διακυμάνσεις, ενώ οι βραχυπρόθεσμες υποχρεώσεις μειώθηκαν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κατά 4,5% την περίοδο 2012-2016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>.</w:t>
      </w:r>
    </w:p>
    <w:p w:rsidR="007B2061" w:rsidRPr="007B2061" w:rsidRDefault="00E669AB" w:rsidP="00E669AB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val="el-GR"/>
        </w:rPr>
      </w:pPr>
      <w:r w:rsidRPr="007B2061">
        <w:rPr>
          <w:rFonts w:ascii="Tahoma" w:eastAsia="Calibri" w:hAnsi="Tahoma" w:cs="Tahoma"/>
          <w:sz w:val="21"/>
          <w:szCs w:val="21"/>
          <w:lang w:val="el-GR"/>
        </w:rPr>
        <w:tab/>
        <w:t xml:space="preserve">Οι συνολικές πωλήσεις των εταιρειών παρουσίασαν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άνοδο την ίδια περίοδο κατά 9,2%, όπως και τα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 μικτά κέρδη 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 xml:space="preserve">που 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>διαμορφώθηκαν στα €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>34,6 εκατ. το 2016</w:t>
      </w:r>
      <w:r w:rsidRPr="007B2061">
        <w:rPr>
          <w:rFonts w:ascii="Tahoma" w:eastAsia="Calibri" w:hAnsi="Tahoma" w:cs="Tahoma"/>
          <w:sz w:val="21"/>
          <w:szCs w:val="21"/>
          <w:lang w:val="el-GR"/>
        </w:rPr>
        <w:t xml:space="preserve">. Τα λειτουργικά αποτελέσματα, τα καθαρά κέρδη όπως και τα </w:t>
      </w:r>
      <w:r w:rsidRPr="007B2061">
        <w:rPr>
          <w:rFonts w:ascii="Tahoma" w:eastAsia="Calibri" w:hAnsi="Tahoma" w:cs="Tahoma"/>
          <w:sz w:val="21"/>
          <w:szCs w:val="21"/>
        </w:rPr>
        <w:t>EBITDA</w:t>
      </w:r>
      <w:r w:rsidR="007B2061" w:rsidRPr="007B2061">
        <w:rPr>
          <w:rFonts w:ascii="Tahoma" w:eastAsia="Calibri" w:hAnsi="Tahoma" w:cs="Tahoma"/>
          <w:sz w:val="21"/>
          <w:szCs w:val="21"/>
          <w:lang w:val="el-GR"/>
        </w:rPr>
        <w:t xml:space="preserve"> αυξήθηκαν σε πολύ μεγάλο βαθμό την πενταετία 2012-2016 (100%, 95,3% και 31,7% αντίστοιχα).</w:t>
      </w:r>
      <w:r w:rsidR="0061668D" w:rsidRPr="007B2061">
        <w:rPr>
          <w:rFonts w:ascii="Tahoma" w:eastAsia="Calibri" w:hAnsi="Tahoma" w:cs="Tahoma"/>
          <w:sz w:val="21"/>
          <w:szCs w:val="21"/>
          <w:lang w:val="el-GR"/>
        </w:rPr>
        <w:tab/>
      </w:r>
    </w:p>
    <w:p w:rsidR="0061668D" w:rsidRDefault="007B2061" w:rsidP="00E669AB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val="el-GR"/>
        </w:rPr>
      </w:pPr>
      <w:r>
        <w:rPr>
          <w:rFonts w:ascii="Tahoma" w:eastAsia="Calibri" w:hAnsi="Tahoma" w:cs="Tahoma"/>
          <w:sz w:val="21"/>
          <w:szCs w:val="21"/>
          <w:lang w:val="el-GR"/>
        </w:rPr>
        <w:tab/>
      </w:r>
      <w:r w:rsidR="0061668D">
        <w:rPr>
          <w:rFonts w:ascii="Tahoma" w:eastAsia="Calibri" w:hAnsi="Tahoma" w:cs="Tahoma"/>
          <w:sz w:val="21"/>
          <w:szCs w:val="21"/>
          <w:lang w:val="el-GR"/>
        </w:rPr>
        <w:t xml:space="preserve">Παρατηρείται ότι το περιθώριο μικτού κέρδους </w:t>
      </w:r>
      <w:r w:rsidR="00FF1D76">
        <w:rPr>
          <w:rFonts w:ascii="Tahoma" w:eastAsia="Calibri" w:hAnsi="Tahoma" w:cs="Tahoma"/>
          <w:sz w:val="21"/>
          <w:szCs w:val="21"/>
          <w:lang w:val="el-GR"/>
        </w:rPr>
        <w:t xml:space="preserve">του κλάδου </w:t>
      </w:r>
      <w:r w:rsidR="0061668D">
        <w:rPr>
          <w:rFonts w:ascii="Tahoma" w:eastAsia="Calibri" w:hAnsi="Tahoma" w:cs="Tahoma"/>
          <w:sz w:val="21"/>
          <w:szCs w:val="21"/>
          <w:lang w:val="el-GR"/>
        </w:rPr>
        <w:t>των εταιρειών εισαγωγής ηλεκτρονικών συστημάτων κυμαίνεται σε υψηλότερα επίπεδα σε σχέση με αυτό τ</w:t>
      </w:r>
      <w:r w:rsidR="008A1305">
        <w:rPr>
          <w:rFonts w:ascii="Tahoma" w:eastAsia="Calibri" w:hAnsi="Tahoma" w:cs="Tahoma"/>
          <w:sz w:val="21"/>
          <w:szCs w:val="21"/>
          <w:lang w:val="el-GR"/>
        </w:rPr>
        <w:t>ου κλάδου των</w:t>
      </w:r>
      <w:r w:rsidR="0061668D">
        <w:rPr>
          <w:rFonts w:ascii="Tahoma" w:eastAsia="Calibri" w:hAnsi="Tahoma" w:cs="Tahoma"/>
          <w:sz w:val="21"/>
          <w:szCs w:val="21"/>
          <w:lang w:val="el-GR"/>
        </w:rPr>
        <w:t xml:space="preserve"> εταιρειών παροχής υπηρεσιών ασφαλείας</w:t>
      </w:r>
      <w:r w:rsidR="0061668D" w:rsidRPr="0061668D">
        <w:rPr>
          <w:rFonts w:ascii="Tahoma" w:eastAsia="Calibri" w:hAnsi="Tahoma" w:cs="Tahoma"/>
          <w:sz w:val="21"/>
          <w:szCs w:val="21"/>
          <w:lang w:val="el-GR"/>
        </w:rPr>
        <w:t>, αλλά</w:t>
      </w:r>
      <w:r w:rsidR="0061668D">
        <w:rPr>
          <w:rFonts w:ascii="Tahoma" w:eastAsia="Calibri" w:hAnsi="Tahoma" w:cs="Tahoma"/>
          <w:sz w:val="21"/>
          <w:szCs w:val="21"/>
          <w:lang w:val="el-GR"/>
        </w:rPr>
        <w:t xml:space="preserve"> οι υπόλοιποι </w:t>
      </w:r>
      <w:r w:rsidR="0061668D" w:rsidRPr="00FF1D76">
        <w:rPr>
          <w:rFonts w:ascii="Tahoma" w:eastAsia="Calibri" w:hAnsi="Tahoma" w:cs="Tahoma"/>
          <w:b/>
          <w:sz w:val="21"/>
          <w:szCs w:val="21"/>
          <w:lang w:val="el-GR"/>
        </w:rPr>
        <w:t>δείκτες κερδοφορίας</w:t>
      </w:r>
      <w:r w:rsidR="0061668D">
        <w:rPr>
          <w:rFonts w:ascii="Tahoma" w:eastAsia="Calibri" w:hAnsi="Tahoma" w:cs="Tahoma"/>
          <w:sz w:val="21"/>
          <w:szCs w:val="21"/>
          <w:lang w:val="el-GR"/>
        </w:rPr>
        <w:t xml:space="preserve"> εμφανίζουν παραπλήσια εικόνα</w:t>
      </w:r>
      <w:r w:rsidR="0061668D" w:rsidRPr="0061668D">
        <w:rPr>
          <w:rFonts w:ascii="Tahoma" w:eastAsia="Calibri" w:hAnsi="Tahoma" w:cs="Tahoma"/>
          <w:sz w:val="21"/>
          <w:szCs w:val="21"/>
          <w:lang w:val="el-GR"/>
        </w:rPr>
        <w:t>.</w:t>
      </w: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9600"/>
      </w:tblGrid>
      <w:tr w:rsidR="0061668D" w:rsidRPr="00311BEE" w:rsidTr="001D50DB">
        <w:trPr>
          <w:trHeight w:val="283"/>
          <w:jc w:val="center"/>
        </w:trPr>
        <w:tc>
          <w:tcPr>
            <w:tcW w:w="9600" w:type="dxa"/>
          </w:tcPr>
          <w:p w:rsidR="007B2061" w:rsidRDefault="007B2061" w:rsidP="001D50D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  <w:p w:rsidR="0061668D" w:rsidRDefault="0061668D" w:rsidP="007B20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Δείκτες Κερδοφορίας (%)</w:t>
            </w:r>
            <w:r w:rsidR="00FF1D7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του Κλάδου </w:t>
            </w:r>
            <w:r w:rsidR="00FF1D7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των Εταιρειών </w:t>
            </w:r>
            <w:r w:rsidR="002622C1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Εισαγωγής Ηλεκτρονικών Συστημάτων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Ασφαλείας (2012-2016</w:t>
            </w:r>
            <w:r w:rsidRPr="00D8133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)</w:t>
            </w:r>
          </w:p>
          <w:p w:rsidR="0061668D" w:rsidRPr="00D8133D" w:rsidRDefault="0061668D" w:rsidP="001D50D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61668D" w:rsidRPr="002622C1" w:rsidTr="001D50DB">
        <w:trPr>
          <w:trHeight w:val="283"/>
          <w:jc w:val="center"/>
        </w:trPr>
        <w:tc>
          <w:tcPr>
            <w:tcW w:w="9600" w:type="dxa"/>
            <w:vAlign w:val="center"/>
          </w:tcPr>
          <w:p w:rsidR="0061668D" w:rsidRPr="00D8133D" w:rsidRDefault="002C5701" w:rsidP="007B2061">
            <w:pPr>
              <w:spacing w:line="360" w:lineRule="auto"/>
              <w:rPr>
                <w:rFonts w:ascii="Tahoma" w:hAnsi="Tahoma" w:cs="Tahoma"/>
                <w:color w:val="FF000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26E6DF1B" wp14:editId="0209E14F">
                  <wp:extent cx="2880000" cy="1620000"/>
                  <wp:effectExtent l="0" t="0" r="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524300CA">
                  <wp:extent cx="2880000" cy="1620000"/>
                  <wp:effectExtent l="0" t="0" r="0" b="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051EC38D">
                  <wp:extent cx="2880000" cy="16200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0000"/>
                <w:sz w:val="22"/>
                <w:szCs w:val="22"/>
                <w:lang w:val="en-US"/>
              </w:rPr>
              <w:drawing>
                <wp:inline distT="0" distB="0" distL="0" distR="0" wp14:anchorId="4CE16E8A">
                  <wp:extent cx="2880000" cy="162000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8D" w:rsidRPr="00D8133D" w:rsidTr="001D50DB">
        <w:trPr>
          <w:cantSplit/>
          <w:trHeight w:val="283"/>
          <w:jc w:val="center"/>
        </w:trPr>
        <w:tc>
          <w:tcPr>
            <w:tcW w:w="9600" w:type="dxa"/>
            <w:vAlign w:val="center"/>
          </w:tcPr>
          <w:p w:rsidR="0061668D" w:rsidRPr="00E74C0F" w:rsidRDefault="0061668D" w:rsidP="001D50DB">
            <w:pPr>
              <w:spacing w:line="360" w:lineRule="auto"/>
              <w:jc w:val="right"/>
              <w:rPr>
                <w:rFonts w:ascii="Tahoma" w:hAnsi="Tahoma" w:cs="Tahoma"/>
                <w:i/>
                <w:color w:val="FF0000"/>
                <w:sz w:val="18"/>
                <w:szCs w:val="18"/>
                <w:lang w:val="el-GR"/>
              </w:rPr>
            </w:pPr>
            <w:r w:rsidRPr="00E74C0F">
              <w:rPr>
                <w:rFonts w:ascii="Tahoma" w:hAnsi="Tahoma" w:cs="Tahoma"/>
                <w:i/>
                <w:sz w:val="18"/>
                <w:szCs w:val="18"/>
                <w:lang w:val="el-GR"/>
              </w:rPr>
              <w:t>Πηγή: ICAP Group</w:t>
            </w:r>
          </w:p>
        </w:tc>
      </w:tr>
    </w:tbl>
    <w:p w:rsidR="00311BEE" w:rsidRPr="00311BEE" w:rsidRDefault="008204F4" w:rsidP="00311BEE">
      <w:pPr>
        <w:shd w:val="pct10" w:color="auto" w:fill="auto"/>
        <w:tabs>
          <w:tab w:val="left" w:pos="181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E669AB">
        <w:rPr>
          <w:rFonts w:ascii="Tahoma" w:hAnsi="Tahoma" w:cs="Tahoma"/>
          <w:i/>
          <w:sz w:val="20"/>
          <w:szCs w:val="20"/>
          <w:lang w:val="el-GR"/>
        </w:rPr>
        <w:br w:type="page"/>
      </w:r>
      <w:r w:rsidR="00311BEE" w:rsidRPr="00311BEE">
        <w:rPr>
          <w:rFonts w:asciiTheme="minorHAnsi" w:hAnsiTheme="minorHAnsi" w:cstheme="minorHAnsi"/>
          <w:i/>
          <w:iCs/>
          <w:sz w:val="22"/>
          <w:szCs w:val="22"/>
        </w:rPr>
        <w:lastRenderedPageBreak/>
        <w:tab/>
      </w:r>
    </w:p>
    <w:p w:rsidR="00311BEE" w:rsidRPr="00311BEE" w:rsidRDefault="00311BEE" w:rsidP="00311BEE">
      <w:pPr>
        <w:contextualSpacing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H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ICAP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Group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– με 1.000 εργαζομένους – είναι ο μεγαλύτερος Όμιλος παροχής υπηρεσιών προς επιχειρήσεις στην Ελλάδα, με ισχυρή παρουσία στη Νοτιοανατολική Ευρώπη. Μετά την εξαγορά της από το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SEEF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Fund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της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Global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Finance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το 2007, έχει αναπτυχθεί ραγδαία και σήμερα παρέχει μεγάλο εύρος υπηρεσιών και προϊόντων που ομαδοποιούνται σε 4 κατηγορίες: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Credit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Risk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Services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,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Marketing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&amp;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Sales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Solutions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,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Management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Consulting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και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People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&amp;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Employment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Solutions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. </w: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t xml:space="preserve">Περισσότερες πληροφορίες στο </w:t>
      </w:r>
      <w:r w:rsidRPr="00311BEE">
        <w:rPr>
          <w:rFonts w:asciiTheme="minorHAnsi" w:hAnsiTheme="minorHAnsi" w:cstheme="minorHAnsi"/>
          <w:sz w:val="22"/>
          <w:szCs w:val="22"/>
        </w:rPr>
        <w:fldChar w:fldCharType="begin"/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311BEE">
        <w:rPr>
          <w:rFonts w:asciiTheme="minorHAnsi" w:hAnsiTheme="minorHAnsi" w:cstheme="minorHAnsi"/>
          <w:sz w:val="22"/>
          <w:szCs w:val="22"/>
        </w:rPr>
        <w:instrText>HYPERLINK</w:instrTex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 xml:space="preserve"> "</w:instrText>
      </w:r>
      <w:r w:rsidRPr="00311BEE">
        <w:rPr>
          <w:rFonts w:asciiTheme="minorHAnsi" w:hAnsiTheme="minorHAnsi" w:cstheme="minorHAnsi"/>
          <w:sz w:val="22"/>
          <w:szCs w:val="22"/>
        </w:rPr>
        <w:instrText>http</w:instrTex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>://</w:instrText>
      </w:r>
      <w:r w:rsidRPr="00311BEE">
        <w:rPr>
          <w:rFonts w:asciiTheme="minorHAnsi" w:hAnsiTheme="minorHAnsi" w:cstheme="minorHAnsi"/>
          <w:sz w:val="22"/>
          <w:szCs w:val="22"/>
        </w:rPr>
        <w:instrText>www</w:instrTex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>.</w:instrText>
      </w:r>
      <w:r w:rsidRPr="00311BEE">
        <w:rPr>
          <w:rFonts w:asciiTheme="minorHAnsi" w:hAnsiTheme="minorHAnsi" w:cstheme="minorHAnsi"/>
          <w:sz w:val="22"/>
          <w:szCs w:val="22"/>
        </w:rPr>
        <w:instrText>icap</w:instrTex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>.</w:instrText>
      </w:r>
      <w:r w:rsidRPr="00311BEE">
        <w:rPr>
          <w:rFonts w:asciiTheme="minorHAnsi" w:hAnsiTheme="minorHAnsi" w:cstheme="minorHAnsi"/>
          <w:sz w:val="22"/>
          <w:szCs w:val="22"/>
        </w:rPr>
        <w:instrText>gr</w:instrText>
      </w:r>
      <w:r w:rsidRPr="00311BEE">
        <w:rPr>
          <w:rFonts w:asciiTheme="minorHAnsi" w:hAnsiTheme="minorHAnsi" w:cstheme="minorHAnsi"/>
          <w:sz w:val="22"/>
          <w:szCs w:val="22"/>
          <w:lang w:val="el-GR"/>
        </w:rPr>
        <w:instrText xml:space="preserve">" </w:instrText>
      </w:r>
      <w:r w:rsidRPr="00311BEE">
        <w:rPr>
          <w:rFonts w:asciiTheme="minorHAnsi" w:hAnsiTheme="minorHAnsi" w:cstheme="minorHAnsi"/>
          <w:sz w:val="22"/>
          <w:szCs w:val="22"/>
        </w:rPr>
        <w:fldChar w:fldCharType="separate"/>
      </w:r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www</w:t>
      </w:r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l-GR"/>
        </w:rPr>
        <w:t>.</w:t>
      </w:r>
      <w:proofErr w:type="spellStart"/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icap</w:t>
      </w:r>
      <w:proofErr w:type="spellEnd"/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l-GR"/>
        </w:rPr>
        <w:t>.</w:t>
      </w:r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gr</w:t>
      </w:r>
      <w:r w:rsidRPr="00311BEE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fldChar w:fldCharType="end"/>
      </w:r>
      <w:r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br/>
      </w:r>
    </w:p>
    <w:p w:rsidR="00311BEE" w:rsidRPr="00311BEE" w:rsidRDefault="00311BEE" w:rsidP="00311BEE">
      <w:pPr>
        <w:shd w:val="pct10" w:color="auto" w:fill="auto"/>
        <w:spacing w:after="120"/>
        <w:rPr>
          <w:rFonts w:asciiTheme="minorHAnsi" w:hAnsiTheme="minorHAnsi" w:cstheme="minorHAnsi"/>
          <w:color w:val="1F497D"/>
          <w:sz w:val="22"/>
          <w:szCs w:val="22"/>
          <w:lang w:val="el-GR"/>
        </w:rPr>
      </w:pPr>
    </w:p>
    <w:p w:rsidR="00311BEE" w:rsidRPr="00311BEE" w:rsidRDefault="00311BEE" w:rsidP="00311BEE">
      <w:pPr>
        <w:spacing w:after="120"/>
        <w:rPr>
          <w:rFonts w:asciiTheme="minorHAnsi" w:hAnsiTheme="minorHAnsi" w:cstheme="minorHAnsi"/>
          <w:b/>
          <w:noProof/>
          <w:color w:val="1F497D"/>
          <w:sz w:val="22"/>
          <w:szCs w:val="22"/>
          <w:lang w:val="el-GR"/>
        </w:rPr>
      </w:pP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Λογότυπο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ICAP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Group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br/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Μπορείτε να λάβετε το αρχείο από την ακόλουθη διεύθυνση: </w:t>
      </w:r>
      <w:hyperlink r:id="rId19" w:history="1"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http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://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dir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.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icap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.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gr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/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mailimages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/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PublishingServer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/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ICAPGroup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l-GR"/>
          </w:rPr>
          <w:t>.</w:t>
        </w:r>
        <w:r w:rsidRPr="00311BEE">
          <w:rPr>
            <w:rFonts w:asciiTheme="minorHAnsi" w:hAnsiTheme="minorHAnsi" w:cstheme="minorHAnsi"/>
            <w:b/>
            <w:noProof/>
            <w:color w:val="0000FF"/>
            <w:sz w:val="22"/>
            <w:szCs w:val="22"/>
            <w:u w:val="single"/>
            <w:lang w:val="en-US"/>
          </w:rPr>
          <w:t>jpg</w:t>
        </w:r>
      </w:hyperlink>
    </w:p>
    <w:p w:rsidR="00311BEE" w:rsidRPr="00311BEE" w:rsidRDefault="00311BEE" w:rsidP="00311BEE">
      <w:pPr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</w:pP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Φωτογραφία 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 xml:space="preserve">κου Νίκου 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t>Ταβουλάρη, Senior Consultant Οικονομικών &amp; Κλαδικών Μελετών Ομίλου Ι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CAP</w:t>
      </w: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  <w:lang w:val="el-GR"/>
        </w:rPr>
        <w:br/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>Μπορείτε να λάβετε τ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o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l-GR"/>
        </w:rPr>
        <w:t xml:space="preserve"> αρχείο από την ακόλουθη διεύθυνση:</w:t>
      </w:r>
      <w:r w:rsidRPr="00311BEE">
        <w:rPr>
          <w:rStyle w:val="Hyperlink"/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hyperlink r:id="rId20" w:history="1"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://</w:t>
        </w:r>
        <w:proofErr w:type="spellStart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dir</w:t>
        </w:r>
        <w:proofErr w:type="spellEnd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proofErr w:type="spellStart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icap</w:t>
        </w:r>
        <w:proofErr w:type="spellEnd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gr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/</w:t>
        </w:r>
        <w:proofErr w:type="spellStart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mailimages</w:t>
        </w:r>
        <w:proofErr w:type="spellEnd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/</w:t>
        </w:r>
        <w:proofErr w:type="spellStart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PublishingServer</w:t>
        </w:r>
        <w:proofErr w:type="spellEnd"/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/Νίκος_Ταβουλάρη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ς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Pr="000F28B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jpg</w:t>
        </w:r>
      </w:hyperlink>
      <w:r w:rsidRPr="00311BEE">
        <w:rPr>
          <w:rStyle w:val="Hyperlink"/>
          <w:rFonts w:asciiTheme="minorHAnsi" w:hAnsiTheme="minorHAnsi" w:cstheme="minorHAnsi"/>
          <w:b/>
          <w:sz w:val="22"/>
          <w:szCs w:val="22"/>
          <w:lang w:val="el-GR"/>
        </w:rPr>
        <w:br/>
      </w:r>
    </w:p>
    <w:p w:rsidR="00311BEE" w:rsidRPr="00311BEE" w:rsidRDefault="00311BEE" w:rsidP="00311BEE">
      <w:pPr>
        <w:shd w:val="pct10" w:color="auto" w:fill="auto"/>
        <w:spacing w:after="120"/>
        <w:rPr>
          <w:rFonts w:asciiTheme="minorHAnsi" w:hAnsiTheme="minorHAnsi" w:cstheme="minorHAnsi"/>
          <w:color w:val="1F497D"/>
          <w:sz w:val="22"/>
          <w:szCs w:val="22"/>
          <w:lang w:val="el-GR"/>
        </w:rPr>
      </w:pPr>
    </w:p>
    <w:p w:rsidR="00311BEE" w:rsidRPr="00311BEE" w:rsidRDefault="00311BEE" w:rsidP="00311BEE">
      <w:pPr>
        <w:spacing w:after="100" w:afterAutospacing="1"/>
        <w:contextualSpacing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311BE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Περισσότερες Πληροφορίες: </w:t>
      </w:r>
    </w:p>
    <w:tbl>
      <w:tblPr>
        <w:tblpPr w:leftFromText="180" w:rightFromText="180" w:vertAnchor="text" w:horzAnchor="page" w:tblpX="9046" w:tblpY="188"/>
        <w:tblOverlap w:val="never"/>
        <w:tblW w:w="1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95"/>
      </w:tblGrid>
      <w:tr w:rsidR="00311BEE" w:rsidRPr="00311BEE" w:rsidTr="004067EA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311BEE" w:rsidRPr="00311BEE" w:rsidRDefault="00311BEE" w:rsidP="004067EA">
            <w:pPr>
              <w:spacing w:after="12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311BE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eastAsia="el-GR"/>
              </w:rPr>
              <w:drawing>
                <wp:inline distT="0" distB="0" distL="0" distR="0" wp14:anchorId="2F4F8FFB" wp14:editId="1A534BD4">
                  <wp:extent cx="276225" cy="276225"/>
                  <wp:effectExtent l="0" t="0" r="9525" b="9525"/>
                  <wp:docPr id="11" name="Picture 11" descr="Description: Description: Description: Description: Description: Description: Description: Linkedi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Description: Description: Linkedi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1BEE" w:rsidRPr="00311BEE" w:rsidRDefault="00311BEE" w:rsidP="004067EA">
            <w:pPr>
              <w:spacing w:after="12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311BE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eastAsia="el-GR"/>
              </w:rPr>
              <w:drawing>
                <wp:inline distT="0" distB="0" distL="0" distR="0" wp14:anchorId="0890CDF9" wp14:editId="363A87A6">
                  <wp:extent cx="276225" cy="276225"/>
                  <wp:effectExtent l="0" t="0" r="9525" b="9525"/>
                  <wp:docPr id="12" name="Picture 12" descr="Description: Description: Description: Description: Description: Description: Description: twitt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Description: Description: Description: Description: twitt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1BEE" w:rsidRPr="00311BEE" w:rsidRDefault="00311BEE" w:rsidP="004067EA">
            <w:pPr>
              <w:spacing w:after="12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311BE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eastAsia="el-GR"/>
              </w:rPr>
              <w:drawing>
                <wp:inline distT="0" distB="0" distL="0" distR="0" wp14:anchorId="7E72BC00" wp14:editId="12A33DE5">
                  <wp:extent cx="276225" cy="276225"/>
                  <wp:effectExtent l="0" t="0" r="9525" b="9525"/>
                  <wp:docPr id="27" name="Picture 27" descr="Description: Description: Description: Description: Description: Description: Description: facebook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facebook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1BEE" w:rsidRPr="00311BEE" w:rsidRDefault="00311BEE" w:rsidP="004067EA">
            <w:pPr>
              <w:spacing w:after="12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311BE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eastAsia="el-GR"/>
              </w:rPr>
              <w:drawing>
                <wp:inline distT="0" distB="0" distL="0" distR="0" wp14:anchorId="1B8A3144" wp14:editId="1F90C496">
                  <wp:extent cx="276225" cy="276225"/>
                  <wp:effectExtent l="0" t="0" r="9525" b="9525"/>
                  <wp:docPr id="28" name="Picture 28" descr="Description: Description: Description: Description: Description: Description: Description: youtub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Description: Description: youtub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BEE" w:rsidRPr="00311BEE" w:rsidRDefault="00311BEE" w:rsidP="00311BEE">
      <w:pPr>
        <w:spacing w:after="100" w:afterAutospacing="1"/>
        <w:contextualSpacing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Γραφείο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Τύπου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 O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μίλου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 ICAP </w:t>
      </w:r>
    </w:p>
    <w:p w:rsidR="00311BEE" w:rsidRPr="00311BEE" w:rsidRDefault="00311BEE" w:rsidP="00311BEE">
      <w:pPr>
        <w:contextualSpacing/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</w:pP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Φρατζέσκα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 xml:space="preserve"> 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</w:rPr>
        <w:t>Σιδερή</w:t>
      </w: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, Communications &amp; Marketing Manager</w:t>
      </w:r>
    </w:p>
    <w:p w:rsidR="00311BEE" w:rsidRPr="00311BEE" w:rsidRDefault="00311BEE" w:rsidP="00311BEE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311BEE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t>T: 210 7200 495 | 693 673 5 143 | F: 213 0173 495</w:t>
      </w:r>
    </w:p>
    <w:p w:rsidR="00311BEE" w:rsidRPr="007726CF" w:rsidRDefault="00311BEE" w:rsidP="00311BEE">
      <w:pPr>
        <w:rPr>
          <w:lang w:val="en-US"/>
        </w:rPr>
      </w:pPr>
    </w:p>
    <w:p w:rsidR="008204F4" w:rsidRDefault="008204F4">
      <w:pPr>
        <w:rPr>
          <w:rFonts w:ascii="Tahoma" w:hAnsi="Tahoma" w:cs="Tahoma"/>
          <w:i/>
          <w:sz w:val="20"/>
          <w:szCs w:val="20"/>
          <w:lang w:val="el-GR"/>
        </w:rPr>
      </w:pPr>
    </w:p>
    <w:sectPr w:rsidR="008204F4" w:rsidSect="00311BEE">
      <w:headerReference w:type="default" r:id="rId29"/>
      <w:headerReference w:type="first" r:id="rId30"/>
      <w:footerReference w:type="first" r:id="rId31"/>
      <w:pgSz w:w="11906" w:h="16838"/>
      <w:pgMar w:top="1701" w:right="991" w:bottom="144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FD" w:rsidRDefault="008C11FD">
      <w:r>
        <w:separator/>
      </w:r>
    </w:p>
  </w:endnote>
  <w:endnote w:type="continuationSeparator" w:id="0">
    <w:p w:rsidR="008C11FD" w:rsidRDefault="008C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F Textbook Light">
    <w:altName w:val="Arial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EE" w:rsidRPr="00311BEE" w:rsidRDefault="00311BEE" w:rsidP="00311BEE">
    <w:pPr>
      <w:pStyle w:val="Footer"/>
      <w:tabs>
        <w:tab w:val="left" w:pos="851"/>
        <w:tab w:val="center" w:pos="3969"/>
        <w:tab w:val="left" w:pos="4820"/>
      </w:tabs>
      <w:contextualSpacing/>
      <w:rPr>
        <w:b/>
        <w:color w:val="808080"/>
        <w:sz w:val="16"/>
        <w:szCs w:val="16"/>
        <w:lang w:val="el-GR"/>
      </w:rPr>
    </w:pPr>
    <w:r w:rsidRPr="00D54B69">
      <w:rPr>
        <w:b/>
        <w:color w:val="808080"/>
        <w:sz w:val="16"/>
        <w:szCs w:val="16"/>
      </w:rPr>
      <w:t>ICAP</w:t>
    </w:r>
    <w:r w:rsidRPr="00311BEE">
      <w:rPr>
        <w:b/>
        <w:color w:val="808080"/>
        <w:sz w:val="16"/>
        <w:szCs w:val="16"/>
        <w:lang w:val="el-GR"/>
      </w:rPr>
      <w:t xml:space="preserve"> </w:t>
    </w:r>
    <w:r w:rsidRPr="00D54B69">
      <w:rPr>
        <w:b/>
        <w:color w:val="808080"/>
        <w:sz w:val="16"/>
        <w:szCs w:val="16"/>
      </w:rPr>
      <w:t>Group</w:t>
    </w:r>
    <w:r w:rsidRPr="00311BEE">
      <w:rPr>
        <w:b/>
        <w:color w:val="808080"/>
        <w:sz w:val="16"/>
        <w:szCs w:val="16"/>
        <w:lang w:val="el-GR"/>
      </w:rPr>
      <w:t xml:space="preserve"> </w:t>
    </w:r>
    <w:r w:rsidRPr="00D54B69">
      <w:rPr>
        <w:b/>
        <w:color w:val="808080"/>
        <w:sz w:val="16"/>
        <w:szCs w:val="16"/>
      </w:rPr>
      <w:t>A</w:t>
    </w:r>
    <w:r w:rsidRPr="00311BEE">
      <w:rPr>
        <w:b/>
        <w:color w:val="808080"/>
        <w:sz w:val="16"/>
        <w:szCs w:val="16"/>
        <w:lang w:val="el-GR"/>
      </w:rPr>
      <w:t>.</w:t>
    </w:r>
    <w:r w:rsidRPr="00D54B69">
      <w:rPr>
        <w:b/>
        <w:color w:val="808080"/>
        <w:sz w:val="16"/>
        <w:szCs w:val="16"/>
      </w:rPr>
      <w:t>E</w:t>
    </w:r>
    <w:r w:rsidRPr="00311BEE">
      <w:rPr>
        <w:b/>
        <w:color w:val="808080"/>
        <w:sz w:val="16"/>
        <w:szCs w:val="16"/>
        <w:lang w:val="el-GR"/>
      </w:rPr>
      <w:t>.</w:t>
    </w:r>
    <w:r w:rsidRPr="00311BEE">
      <w:rPr>
        <w:b/>
        <w:color w:val="808080"/>
        <w:sz w:val="16"/>
        <w:szCs w:val="16"/>
        <w:lang w:val="el-GR"/>
      </w:rPr>
      <w:br/>
      <w:t xml:space="preserve">ΕΠΙΧΕΙΡΗΜΑΤΙΚΗ ΠΛΗΡΟΦΟΡΗΣΗ, ΣΥΜΒΟΥΛΟΙ ΔΙΟΙΚΗΣΗΣ ΚΑΙ ΥΠΗΡΕΣΙΕΣ ΠΡΟΣ ΕΠΙΧΕΙΡΗΣΕΙΣ           </w:t>
    </w:r>
  </w:p>
  <w:p w:rsidR="00311BEE" w:rsidRPr="00311BEE" w:rsidRDefault="00311BEE" w:rsidP="00311BEE">
    <w:pPr>
      <w:pStyle w:val="Footer"/>
      <w:tabs>
        <w:tab w:val="left" w:pos="851"/>
        <w:tab w:val="center" w:pos="3969"/>
        <w:tab w:val="left" w:pos="4820"/>
      </w:tabs>
      <w:contextualSpacing/>
      <w:rPr>
        <w:b/>
        <w:color w:val="808080"/>
        <w:sz w:val="16"/>
        <w:szCs w:val="16"/>
        <w:lang w:val="el-GR"/>
      </w:rPr>
    </w:pPr>
    <w:r w:rsidRPr="00311BEE">
      <w:rPr>
        <w:b/>
        <w:color w:val="808080"/>
        <w:sz w:val="16"/>
        <w:szCs w:val="16"/>
        <w:lang w:val="el-GR"/>
      </w:rPr>
      <w:t xml:space="preserve">Γραφείο Τύπου                                                                                                                                                                                                                            </w:t>
    </w:r>
    <w:r w:rsidRPr="00311BEE">
      <w:rPr>
        <w:noProof/>
        <w:sz w:val="14"/>
        <w:lang w:val="el-GR"/>
      </w:rPr>
      <w:t xml:space="preserve"> </w:t>
    </w:r>
  </w:p>
  <w:p w:rsidR="00311BEE" w:rsidRPr="00311BEE" w:rsidRDefault="00311BEE" w:rsidP="00311BEE">
    <w:pPr>
      <w:pStyle w:val="Footer"/>
      <w:tabs>
        <w:tab w:val="left" w:pos="851"/>
        <w:tab w:val="center" w:pos="3969"/>
        <w:tab w:val="left" w:pos="4820"/>
      </w:tabs>
      <w:contextualSpacing/>
      <w:rPr>
        <w:b/>
        <w:color w:val="808080"/>
        <w:sz w:val="16"/>
        <w:szCs w:val="16"/>
        <w:lang w:val="el-GR"/>
      </w:rPr>
    </w:pPr>
    <w:r w:rsidRPr="00311BEE">
      <w:rPr>
        <w:b/>
        <w:color w:val="808080"/>
        <w:sz w:val="16"/>
        <w:szCs w:val="16"/>
        <w:lang w:val="el-GR"/>
      </w:rPr>
      <w:t xml:space="preserve">Λεωφόρος Ελευθερίου Βενιζέλου 2, 176 76 Καλλιθέα, Τηλ: 210 7200 495, </w:t>
    </w:r>
    <w:r w:rsidRPr="00D54B69">
      <w:rPr>
        <w:b/>
        <w:color w:val="808080"/>
        <w:sz w:val="16"/>
        <w:szCs w:val="16"/>
        <w:lang w:val="en-US"/>
      </w:rPr>
      <w:t>e</w:t>
    </w:r>
    <w:r w:rsidRPr="00311BEE">
      <w:rPr>
        <w:b/>
        <w:color w:val="808080"/>
        <w:sz w:val="16"/>
        <w:szCs w:val="16"/>
        <w:lang w:val="el-GR"/>
      </w:rPr>
      <w:t>-</w:t>
    </w:r>
    <w:r w:rsidRPr="00D54B69">
      <w:rPr>
        <w:b/>
        <w:color w:val="808080"/>
        <w:sz w:val="16"/>
        <w:szCs w:val="16"/>
        <w:lang w:val="en-US"/>
      </w:rPr>
      <w:t>mail</w:t>
    </w:r>
    <w:r w:rsidRPr="00311BEE">
      <w:rPr>
        <w:b/>
        <w:color w:val="808080"/>
        <w:sz w:val="16"/>
        <w:szCs w:val="16"/>
        <w:lang w:val="el-GR"/>
      </w:rPr>
      <w:t xml:space="preserve">: </w:t>
    </w:r>
    <w:hyperlink r:id="rId1" w:history="1">
      <w:r w:rsidRPr="000C5BF7">
        <w:rPr>
          <w:rStyle w:val="Hyperlink"/>
          <w:b/>
          <w:sz w:val="16"/>
          <w:szCs w:val="16"/>
          <w:lang w:val="en-US"/>
        </w:rPr>
        <w:t>pr</w:t>
      </w:r>
      <w:r w:rsidRPr="00311BEE">
        <w:rPr>
          <w:rStyle w:val="Hyperlink"/>
          <w:b/>
          <w:sz w:val="16"/>
          <w:szCs w:val="16"/>
          <w:lang w:val="el-GR"/>
        </w:rPr>
        <w:t>@</w:t>
      </w:r>
      <w:r w:rsidRPr="000C5BF7">
        <w:rPr>
          <w:rStyle w:val="Hyperlink"/>
          <w:b/>
          <w:sz w:val="16"/>
          <w:szCs w:val="16"/>
          <w:lang w:val="en-US"/>
        </w:rPr>
        <w:t>icap</w:t>
      </w:r>
      <w:r w:rsidRPr="00311BEE">
        <w:rPr>
          <w:rStyle w:val="Hyperlink"/>
          <w:b/>
          <w:sz w:val="16"/>
          <w:szCs w:val="16"/>
          <w:lang w:val="el-GR"/>
        </w:rPr>
        <w:t>.</w:t>
      </w:r>
      <w:r w:rsidRPr="000C5BF7">
        <w:rPr>
          <w:rStyle w:val="Hyperlink"/>
          <w:b/>
          <w:sz w:val="16"/>
          <w:szCs w:val="16"/>
          <w:lang w:val="en-US"/>
        </w:rPr>
        <w:t>gr</w:t>
      </w:r>
    </w:hyperlink>
  </w:p>
  <w:p w:rsidR="00311BEE" w:rsidRPr="00311BEE" w:rsidRDefault="00311BEE" w:rsidP="00311BE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FD" w:rsidRDefault="008C11FD">
      <w:r>
        <w:separator/>
      </w:r>
    </w:p>
  </w:footnote>
  <w:footnote w:type="continuationSeparator" w:id="0">
    <w:p w:rsidR="008C11FD" w:rsidRDefault="008C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E8" w:rsidRDefault="004D19E8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0EE1B19F" wp14:editId="0367E7F3">
          <wp:simplePos x="0" y="0"/>
          <wp:positionH relativeFrom="margin">
            <wp:posOffset>-81915</wp:posOffset>
          </wp:positionH>
          <wp:positionV relativeFrom="line">
            <wp:posOffset>13335</wp:posOffset>
          </wp:positionV>
          <wp:extent cx="904875" cy="1041438"/>
          <wp:effectExtent l="0" t="0" r="0" b="6350"/>
          <wp:wrapNone/>
          <wp:docPr id="13" name="Picture 13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1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9E8" w:rsidRDefault="004D19E8">
    <w:pPr>
      <w:pStyle w:val="Header"/>
    </w:pPr>
  </w:p>
  <w:p w:rsidR="004D19E8" w:rsidRDefault="004D19E8">
    <w:pPr>
      <w:pStyle w:val="Header"/>
    </w:pPr>
  </w:p>
  <w:p w:rsidR="004D19E8" w:rsidRDefault="004D19E8">
    <w:pPr>
      <w:pStyle w:val="Header"/>
    </w:pPr>
  </w:p>
  <w:p w:rsidR="004D19E8" w:rsidRDefault="004D19E8">
    <w:pPr>
      <w:pStyle w:val="Header"/>
    </w:pPr>
  </w:p>
  <w:p w:rsidR="004D19E8" w:rsidRDefault="004D19E8">
    <w:pPr>
      <w:pStyle w:val="Header"/>
    </w:pPr>
  </w:p>
  <w:p w:rsidR="00B02D51" w:rsidRDefault="00B0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EE" w:rsidRDefault="00311BE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9776" behindDoc="0" locked="0" layoutInCell="1" allowOverlap="1" wp14:anchorId="5F35D249" wp14:editId="2ED12F2F">
          <wp:simplePos x="0" y="0"/>
          <wp:positionH relativeFrom="margin">
            <wp:align>left</wp:align>
          </wp:positionH>
          <wp:positionV relativeFrom="line">
            <wp:posOffset>-1</wp:posOffset>
          </wp:positionV>
          <wp:extent cx="990600" cy="1140101"/>
          <wp:effectExtent l="0" t="0" r="0" b="3175"/>
          <wp:wrapNone/>
          <wp:docPr id="15" name="Picture 15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0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081"/>
    <w:multiLevelType w:val="hybridMultilevel"/>
    <w:tmpl w:val="1F206DE6"/>
    <w:lvl w:ilvl="0" w:tplc="7BE45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E90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2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E5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3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0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45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83B"/>
    <w:multiLevelType w:val="hybridMultilevel"/>
    <w:tmpl w:val="F018837E"/>
    <w:lvl w:ilvl="0" w:tplc="00BEB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F4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42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B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0C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1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69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C1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3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58D0"/>
    <w:multiLevelType w:val="hybridMultilevel"/>
    <w:tmpl w:val="D6DE8AA0"/>
    <w:lvl w:ilvl="0" w:tplc="AE56A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37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8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8B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A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40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6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659"/>
    <w:multiLevelType w:val="hybridMultilevel"/>
    <w:tmpl w:val="CC649BD2"/>
    <w:lvl w:ilvl="0" w:tplc="59E06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4A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EA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EB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8A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E3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3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A4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05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5F7"/>
    <w:multiLevelType w:val="hybridMultilevel"/>
    <w:tmpl w:val="B1302F4A"/>
    <w:lvl w:ilvl="0" w:tplc="8E1A1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1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E3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8A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A5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E5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6A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2C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3453"/>
    <w:multiLevelType w:val="hybridMultilevel"/>
    <w:tmpl w:val="016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609"/>
    <w:multiLevelType w:val="hybridMultilevel"/>
    <w:tmpl w:val="08D2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4237"/>
    <w:multiLevelType w:val="hybridMultilevel"/>
    <w:tmpl w:val="078CCE0A"/>
    <w:lvl w:ilvl="0" w:tplc="FDC41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7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8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82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2A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2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A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B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E7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B208F"/>
    <w:multiLevelType w:val="hybridMultilevel"/>
    <w:tmpl w:val="844CFE44"/>
    <w:lvl w:ilvl="0" w:tplc="32E61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0C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64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66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23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9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08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EA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374A"/>
    <w:multiLevelType w:val="hybridMultilevel"/>
    <w:tmpl w:val="850EE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70C"/>
    <w:multiLevelType w:val="hybridMultilevel"/>
    <w:tmpl w:val="55B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44"/>
    <w:rsid w:val="00004645"/>
    <w:rsid w:val="00012CE5"/>
    <w:rsid w:val="0001561D"/>
    <w:rsid w:val="00020360"/>
    <w:rsid w:val="00024143"/>
    <w:rsid w:val="000258DF"/>
    <w:rsid w:val="00030623"/>
    <w:rsid w:val="00060FC6"/>
    <w:rsid w:val="00062117"/>
    <w:rsid w:val="00087828"/>
    <w:rsid w:val="00095B38"/>
    <w:rsid w:val="000C238A"/>
    <w:rsid w:val="000C3189"/>
    <w:rsid w:val="000D645F"/>
    <w:rsid w:val="000E5CBA"/>
    <w:rsid w:val="000F0E55"/>
    <w:rsid w:val="00104C2B"/>
    <w:rsid w:val="00110163"/>
    <w:rsid w:val="00117B8C"/>
    <w:rsid w:val="00122DAB"/>
    <w:rsid w:val="00127F61"/>
    <w:rsid w:val="001302C5"/>
    <w:rsid w:val="00135820"/>
    <w:rsid w:val="00137C3E"/>
    <w:rsid w:val="0014488A"/>
    <w:rsid w:val="00146AD6"/>
    <w:rsid w:val="0015340C"/>
    <w:rsid w:val="00154DA5"/>
    <w:rsid w:val="0015552F"/>
    <w:rsid w:val="001601AB"/>
    <w:rsid w:val="00160F84"/>
    <w:rsid w:val="00163195"/>
    <w:rsid w:val="00166555"/>
    <w:rsid w:val="00174E5F"/>
    <w:rsid w:val="001819C4"/>
    <w:rsid w:val="0018503F"/>
    <w:rsid w:val="001A1761"/>
    <w:rsid w:val="001C6815"/>
    <w:rsid w:val="001D7CC2"/>
    <w:rsid w:val="001E4A19"/>
    <w:rsid w:val="001E5D7C"/>
    <w:rsid w:val="001E7A26"/>
    <w:rsid w:val="00203924"/>
    <w:rsid w:val="0022575D"/>
    <w:rsid w:val="002622C1"/>
    <w:rsid w:val="00266A37"/>
    <w:rsid w:val="00277D9A"/>
    <w:rsid w:val="002807E0"/>
    <w:rsid w:val="002A1F86"/>
    <w:rsid w:val="002B33A7"/>
    <w:rsid w:val="002B601C"/>
    <w:rsid w:val="002C5701"/>
    <w:rsid w:val="002F314F"/>
    <w:rsid w:val="002F40A6"/>
    <w:rsid w:val="002F6A63"/>
    <w:rsid w:val="003050C6"/>
    <w:rsid w:val="00305427"/>
    <w:rsid w:val="00310ABD"/>
    <w:rsid w:val="00311BEE"/>
    <w:rsid w:val="003162F2"/>
    <w:rsid w:val="0033639F"/>
    <w:rsid w:val="00352913"/>
    <w:rsid w:val="00353291"/>
    <w:rsid w:val="00360289"/>
    <w:rsid w:val="00363ACA"/>
    <w:rsid w:val="003739E1"/>
    <w:rsid w:val="00385B4E"/>
    <w:rsid w:val="003875DB"/>
    <w:rsid w:val="003904E0"/>
    <w:rsid w:val="00390549"/>
    <w:rsid w:val="003A1434"/>
    <w:rsid w:val="003A5074"/>
    <w:rsid w:val="003C5777"/>
    <w:rsid w:val="003C5814"/>
    <w:rsid w:val="003C75A2"/>
    <w:rsid w:val="003D350A"/>
    <w:rsid w:val="003E15AD"/>
    <w:rsid w:val="003E6314"/>
    <w:rsid w:val="003F7416"/>
    <w:rsid w:val="0040199F"/>
    <w:rsid w:val="00401F93"/>
    <w:rsid w:val="00412D8B"/>
    <w:rsid w:val="00433B64"/>
    <w:rsid w:val="004358F8"/>
    <w:rsid w:val="00462B00"/>
    <w:rsid w:val="00472F64"/>
    <w:rsid w:val="00476E03"/>
    <w:rsid w:val="004A7987"/>
    <w:rsid w:val="004B1EA3"/>
    <w:rsid w:val="004B2A88"/>
    <w:rsid w:val="004C115F"/>
    <w:rsid w:val="004C5748"/>
    <w:rsid w:val="004D19E8"/>
    <w:rsid w:val="004D4303"/>
    <w:rsid w:val="004E43C6"/>
    <w:rsid w:val="004E53BD"/>
    <w:rsid w:val="004E7FE4"/>
    <w:rsid w:val="004F6472"/>
    <w:rsid w:val="0052266B"/>
    <w:rsid w:val="00524AC8"/>
    <w:rsid w:val="00524FB0"/>
    <w:rsid w:val="00525529"/>
    <w:rsid w:val="00535BEC"/>
    <w:rsid w:val="0053752D"/>
    <w:rsid w:val="00540F40"/>
    <w:rsid w:val="00564473"/>
    <w:rsid w:val="005711DF"/>
    <w:rsid w:val="00576282"/>
    <w:rsid w:val="00581DE5"/>
    <w:rsid w:val="0058319A"/>
    <w:rsid w:val="0058504E"/>
    <w:rsid w:val="005877F6"/>
    <w:rsid w:val="00595B8C"/>
    <w:rsid w:val="005A57AD"/>
    <w:rsid w:val="005A7D17"/>
    <w:rsid w:val="005D03E1"/>
    <w:rsid w:val="005D778A"/>
    <w:rsid w:val="005E14E9"/>
    <w:rsid w:val="005E595C"/>
    <w:rsid w:val="005E5A44"/>
    <w:rsid w:val="005F2C89"/>
    <w:rsid w:val="005F68C0"/>
    <w:rsid w:val="0061156B"/>
    <w:rsid w:val="006134F7"/>
    <w:rsid w:val="00613C80"/>
    <w:rsid w:val="0061570E"/>
    <w:rsid w:val="0061668D"/>
    <w:rsid w:val="00621084"/>
    <w:rsid w:val="006363D7"/>
    <w:rsid w:val="00644AB4"/>
    <w:rsid w:val="006460D7"/>
    <w:rsid w:val="00650904"/>
    <w:rsid w:val="0065147D"/>
    <w:rsid w:val="00651D5F"/>
    <w:rsid w:val="0065348A"/>
    <w:rsid w:val="00670216"/>
    <w:rsid w:val="00676FEF"/>
    <w:rsid w:val="00677651"/>
    <w:rsid w:val="0068348C"/>
    <w:rsid w:val="0068406D"/>
    <w:rsid w:val="00685690"/>
    <w:rsid w:val="006979C4"/>
    <w:rsid w:val="006C09FD"/>
    <w:rsid w:val="006D35D5"/>
    <w:rsid w:val="006E083E"/>
    <w:rsid w:val="006E0959"/>
    <w:rsid w:val="006E5830"/>
    <w:rsid w:val="006E6C85"/>
    <w:rsid w:val="006F1D07"/>
    <w:rsid w:val="006F34B8"/>
    <w:rsid w:val="00704C95"/>
    <w:rsid w:val="00711B59"/>
    <w:rsid w:val="00711BCE"/>
    <w:rsid w:val="00714320"/>
    <w:rsid w:val="00716966"/>
    <w:rsid w:val="00730C35"/>
    <w:rsid w:val="00743BD2"/>
    <w:rsid w:val="00756F4E"/>
    <w:rsid w:val="0076401B"/>
    <w:rsid w:val="007654B5"/>
    <w:rsid w:val="00766506"/>
    <w:rsid w:val="0078707B"/>
    <w:rsid w:val="00790526"/>
    <w:rsid w:val="007A1647"/>
    <w:rsid w:val="007A1DB9"/>
    <w:rsid w:val="007A661B"/>
    <w:rsid w:val="007B2061"/>
    <w:rsid w:val="007B7E64"/>
    <w:rsid w:val="007D18DF"/>
    <w:rsid w:val="007D3899"/>
    <w:rsid w:val="007E055B"/>
    <w:rsid w:val="007E5645"/>
    <w:rsid w:val="007E56D2"/>
    <w:rsid w:val="007F4B61"/>
    <w:rsid w:val="00815815"/>
    <w:rsid w:val="0082031B"/>
    <w:rsid w:val="008204F4"/>
    <w:rsid w:val="00822C50"/>
    <w:rsid w:val="00833887"/>
    <w:rsid w:val="0085045D"/>
    <w:rsid w:val="00862FA6"/>
    <w:rsid w:val="00864F8A"/>
    <w:rsid w:val="00867566"/>
    <w:rsid w:val="00874D6A"/>
    <w:rsid w:val="00880877"/>
    <w:rsid w:val="00885FD1"/>
    <w:rsid w:val="008A1305"/>
    <w:rsid w:val="008A1F8A"/>
    <w:rsid w:val="008A37BB"/>
    <w:rsid w:val="008A5BF4"/>
    <w:rsid w:val="008C11FD"/>
    <w:rsid w:val="008C1A9A"/>
    <w:rsid w:val="008D6049"/>
    <w:rsid w:val="008D6420"/>
    <w:rsid w:val="008D650A"/>
    <w:rsid w:val="008F76DE"/>
    <w:rsid w:val="009034BF"/>
    <w:rsid w:val="00904799"/>
    <w:rsid w:val="00911688"/>
    <w:rsid w:val="009120D8"/>
    <w:rsid w:val="0092473E"/>
    <w:rsid w:val="00927917"/>
    <w:rsid w:val="0093778D"/>
    <w:rsid w:val="00945CFE"/>
    <w:rsid w:val="00960A39"/>
    <w:rsid w:val="009653E7"/>
    <w:rsid w:val="0096678C"/>
    <w:rsid w:val="00970E1D"/>
    <w:rsid w:val="0097310D"/>
    <w:rsid w:val="0097399E"/>
    <w:rsid w:val="009746CA"/>
    <w:rsid w:val="00995276"/>
    <w:rsid w:val="009B2A20"/>
    <w:rsid w:val="009B6071"/>
    <w:rsid w:val="009D2A70"/>
    <w:rsid w:val="00A079E1"/>
    <w:rsid w:val="00A1482A"/>
    <w:rsid w:val="00A20E2A"/>
    <w:rsid w:val="00A25783"/>
    <w:rsid w:val="00A32D2A"/>
    <w:rsid w:val="00A33051"/>
    <w:rsid w:val="00A37A8E"/>
    <w:rsid w:val="00A51D23"/>
    <w:rsid w:val="00A528EF"/>
    <w:rsid w:val="00A621FD"/>
    <w:rsid w:val="00A626F7"/>
    <w:rsid w:val="00A63A46"/>
    <w:rsid w:val="00A72FEE"/>
    <w:rsid w:val="00A74774"/>
    <w:rsid w:val="00A90147"/>
    <w:rsid w:val="00A92595"/>
    <w:rsid w:val="00AA1C8B"/>
    <w:rsid w:val="00AB1691"/>
    <w:rsid w:val="00AB7735"/>
    <w:rsid w:val="00AC6FCE"/>
    <w:rsid w:val="00AD0FC5"/>
    <w:rsid w:val="00AD59EA"/>
    <w:rsid w:val="00AD777F"/>
    <w:rsid w:val="00AE1E2E"/>
    <w:rsid w:val="00AF0FF4"/>
    <w:rsid w:val="00AF7667"/>
    <w:rsid w:val="00B02D51"/>
    <w:rsid w:val="00B046B8"/>
    <w:rsid w:val="00B066C8"/>
    <w:rsid w:val="00B17288"/>
    <w:rsid w:val="00B54DF8"/>
    <w:rsid w:val="00B72165"/>
    <w:rsid w:val="00B76396"/>
    <w:rsid w:val="00B828D3"/>
    <w:rsid w:val="00B91AA4"/>
    <w:rsid w:val="00B96A27"/>
    <w:rsid w:val="00BA0A1F"/>
    <w:rsid w:val="00BA1D66"/>
    <w:rsid w:val="00BA56F4"/>
    <w:rsid w:val="00BA713D"/>
    <w:rsid w:val="00BB633A"/>
    <w:rsid w:val="00BD5196"/>
    <w:rsid w:val="00BE6244"/>
    <w:rsid w:val="00BF212A"/>
    <w:rsid w:val="00BF3E4C"/>
    <w:rsid w:val="00C118FC"/>
    <w:rsid w:val="00C1224B"/>
    <w:rsid w:val="00C12BDA"/>
    <w:rsid w:val="00C45C70"/>
    <w:rsid w:val="00C60F73"/>
    <w:rsid w:val="00C83F6A"/>
    <w:rsid w:val="00C8466D"/>
    <w:rsid w:val="00C92C3F"/>
    <w:rsid w:val="00C96F6F"/>
    <w:rsid w:val="00CA54DC"/>
    <w:rsid w:val="00CB3A4D"/>
    <w:rsid w:val="00CC4907"/>
    <w:rsid w:val="00CD2E91"/>
    <w:rsid w:val="00CD3429"/>
    <w:rsid w:val="00CD7FB0"/>
    <w:rsid w:val="00CE1006"/>
    <w:rsid w:val="00CE1D4A"/>
    <w:rsid w:val="00CE51E1"/>
    <w:rsid w:val="00CF347B"/>
    <w:rsid w:val="00D03032"/>
    <w:rsid w:val="00D13079"/>
    <w:rsid w:val="00D24C4B"/>
    <w:rsid w:val="00D25193"/>
    <w:rsid w:val="00D34691"/>
    <w:rsid w:val="00D376D8"/>
    <w:rsid w:val="00D427A1"/>
    <w:rsid w:val="00D44AB0"/>
    <w:rsid w:val="00D44BCD"/>
    <w:rsid w:val="00D45463"/>
    <w:rsid w:val="00D46CBB"/>
    <w:rsid w:val="00D5191A"/>
    <w:rsid w:val="00D56B80"/>
    <w:rsid w:val="00D80954"/>
    <w:rsid w:val="00D8133D"/>
    <w:rsid w:val="00D870F4"/>
    <w:rsid w:val="00D9556D"/>
    <w:rsid w:val="00DA67AF"/>
    <w:rsid w:val="00DB2218"/>
    <w:rsid w:val="00DB667F"/>
    <w:rsid w:val="00DC2325"/>
    <w:rsid w:val="00DC2CE7"/>
    <w:rsid w:val="00DD21F6"/>
    <w:rsid w:val="00DF63A8"/>
    <w:rsid w:val="00E00FF9"/>
    <w:rsid w:val="00E33942"/>
    <w:rsid w:val="00E35C31"/>
    <w:rsid w:val="00E42FDF"/>
    <w:rsid w:val="00E44D6E"/>
    <w:rsid w:val="00E518C8"/>
    <w:rsid w:val="00E52C3D"/>
    <w:rsid w:val="00E536A8"/>
    <w:rsid w:val="00E53DCA"/>
    <w:rsid w:val="00E55C2F"/>
    <w:rsid w:val="00E669AB"/>
    <w:rsid w:val="00E74C0F"/>
    <w:rsid w:val="00E74DF4"/>
    <w:rsid w:val="00E835E7"/>
    <w:rsid w:val="00EB4CD7"/>
    <w:rsid w:val="00EC1608"/>
    <w:rsid w:val="00EC43DA"/>
    <w:rsid w:val="00EC61C8"/>
    <w:rsid w:val="00ED46EF"/>
    <w:rsid w:val="00EF6239"/>
    <w:rsid w:val="00F001C3"/>
    <w:rsid w:val="00F00CA9"/>
    <w:rsid w:val="00F07AAD"/>
    <w:rsid w:val="00F10EC4"/>
    <w:rsid w:val="00F206FE"/>
    <w:rsid w:val="00F26FCC"/>
    <w:rsid w:val="00F33C21"/>
    <w:rsid w:val="00F43C1F"/>
    <w:rsid w:val="00F519CB"/>
    <w:rsid w:val="00F67411"/>
    <w:rsid w:val="00F6775E"/>
    <w:rsid w:val="00F70371"/>
    <w:rsid w:val="00F73E64"/>
    <w:rsid w:val="00F83BF4"/>
    <w:rsid w:val="00F97B42"/>
    <w:rsid w:val="00FA1673"/>
    <w:rsid w:val="00FB7957"/>
    <w:rsid w:val="00FC7957"/>
    <w:rsid w:val="00FC7D6C"/>
    <w:rsid w:val="00FD414D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62A7EE"/>
  <w15:chartTrackingRefBased/>
  <w15:docId w15:val="{A9B5A7CA-7F4A-409C-91D3-446B5DE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sz w:val="18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l-GR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NormalWeb">
    <w:name w:val="Normal (Web)"/>
    <w:aliases w:val="Κανονικό (Web) Char Char"/>
    <w:basedOn w:val="Normal"/>
    <w:uiPriority w:val="99"/>
  </w:style>
  <w:style w:type="paragraph" w:styleId="TOC1">
    <w:name w:val="toc 1"/>
    <w:basedOn w:val="Normal"/>
    <w:next w:val="Normal"/>
    <w:autoRedefine/>
    <w:semiHidden/>
    <w:rPr>
      <w:b/>
      <w:bCs/>
      <w:noProof/>
      <w:sz w:val="22"/>
      <w:szCs w:val="28"/>
    </w:rPr>
  </w:style>
  <w:style w:type="paragraph" w:styleId="TOC2">
    <w:name w:val="toc 2"/>
    <w:basedOn w:val="Normal"/>
    <w:next w:val="Normal"/>
    <w:autoRedefine/>
    <w:semiHidden/>
    <w:rPr>
      <w:bCs/>
      <w:sz w:val="22"/>
    </w:rPr>
  </w:style>
  <w:style w:type="paragraph" w:styleId="TOC3">
    <w:name w:val="toc 3"/>
    <w:basedOn w:val="Normal"/>
    <w:next w:val="Normal"/>
    <w:autoRedefine/>
    <w:semiHidden/>
    <w:pPr>
      <w:ind w:left="238"/>
    </w:pPr>
    <w:rPr>
      <w:sz w:val="22"/>
    </w:rPr>
  </w:style>
  <w:style w:type="paragraph" w:customStyle="1" w:styleId="a">
    <w:name w:val="ΔΙΑΓΡΑΜΜΑΤΑ"/>
    <w:basedOn w:val="NormalWeb"/>
    <w:next w:val="NormalWeb"/>
    <w:pPr>
      <w:jc w:val="center"/>
    </w:pPr>
    <w:rPr>
      <w:b/>
      <w:sz w:val="22"/>
    </w:rPr>
  </w:style>
  <w:style w:type="paragraph" w:customStyle="1" w:styleId="a0">
    <w:name w:val="ΚΕΙΜΕΝΟ"/>
    <w:basedOn w:val="Normal"/>
    <w:qFormat/>
    <w:pPr>
      <w:spacing w:line="360" w:lineRule="auto"/>
      <w:ind w:firstLine="425"/>
      <w:jc w:val="both"/>
    </w:pPr>
    <w:rPr>
      <w:sz w:val="22"/>
      <w:lang w:val="el-GR"/>
    </w:rPr>
  </w:style>
  <w:style w:type="paragraph" w:customStyle="1" w:styleId="a1">
    <w:name w:val="ΠΙΝΑΚΕΣ"/>
    <w:basedOn w:val="Normal"/>
    <w:pPr>
      <w:jc w:val="center"/>
    </w:pPr>
    <w:rPr>
      <w:b/>
      <w:sz w:val="22"/>
    </w:rPr>
  </w:style>
  <w:style w:type="paragraph" w:customStyle="1" w:styleId="a2">
    <w:name w:val="ΤΙΤΛΟΙ ΚΕΦΑΛΑΙΩΝ"/>
    <w:basedOn w:val="Heading1"/>
    <w:pPr>
      <w:spacing w:before="0" w:after="0" w:line="360" w:lineRule="auto"/>
      <w:jc w:val="both"/>
    </w:pPr>
    <w:rPr>
      <w:rFonts w:ascii="Times New Roman" w:hAnsi="Times New Roman" w:cs="Times New Roman"/>
      <w:bCs w:val="0"/>
      <w:smallCaps/>
      <w:kern w:val="0"/>
      <w:sz w:val="30"/>
      <w:szCs w:val="24"/>
      <w:lang w:val="el-GR"/>
    </w:rPr>
  </w:style>
  <w:style w:type="paragraph" w:customStyle="1" w:styleId="a3">
    <w:name w:val="ΤΙΤΛΟΙ ΠΑΡΑΡΤΗΜΑΤΩΝ"/>
    <w:basedOn w:val="Normal"/>
    <w:pPr>
      <w:spacing w:line="360" w:lineRule="auto"/>
      <w:jc w:val="both"/>
    </w:pPr>
    <w:rPr>
      <w:b/>
      <w:smallCaps/>
      <w:sz w:val="26"/>
      <w:lang w:val="el-GR"/>
    </w:rPr>
  </w:style>
  <w:style w:type="paragraph" w:customStyle="1" w:styleId="a4">
    <w:name w:val="ΤΙΤΛΟΙ ΥΠΟΚΕΦΑΛΑΙΩΝ"/>
    <w:basedOn w:val="Normal"/>
    <w:pPr>
      <w:spacing w:line="360" w:lineRule="auto"/>
      <w:jc w:val="both"/>
    </w:pPr>
    <w:rPr>
      <w:b/>
      <w:sz w:val="26"/>
      <w:lang w:val="el-GR"/>
    </w:rPr>
  </w:style>
  <w:style w:type="paragraph" w:customStyle="1" w:styleId="-">
    <w:name w:val="ΤΙΤΛΟΙ ΥΠΟ-ΥΠΟΚΕΦΑΛΑΙΩΝ"/>
    <w:basedOn w:val="a4"/>
    <w:rPr>
      <w:sz w:val="22"/>
    </w:rPr>
  </w:style>
  <w:style w:type="character" w:customStyle="1" w:styleId="Char">
    <w:name w:val="ΚΕΙΜΕΝΟ Char"/>
    <w:rPr>
      <w:sz w:val="22"/>
      <w:szCs w:val="24"/>
      <w:lang w:val="el-GR" w:eastAsia="en-US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Verdana" w:hAnsi="Verdana" w:cs="Arial"/>
      <w:sz w:val="20"/>
      <w:szCs w:val="22"/>
      <w:lang w:val="el-GR"/>
    </w:rPr>
  </w:style>
  <w:style w:type="character" w:customStyle="1" w:styleId="BodyText2Char">
    <w:name w:val="Body Text 2 Char"/>
    <w:link w:val="BodyText2"/>
    <w:rsid w:val="006E6C85"/>
    <w:rPr>
      <w:rFonts w:ascii="Verdana" w:hAnsi="Verdana" w:cs="Arial"/>
      <w:szCs w:val="22"/>
      <w:lang w:val="el-GR" w:eastAsia="en-US" w:bidi="ar-SA"/>
    </w:rPr>
  </w:style>
  <w:style w:type="paragraph" w:styleId="DocumentMap">
    <w:name w:val="Document Map"/>
    <w:basedOn w:val="Normal"/>
    <w:semiHidden/>
    <w:rsid w:val="000C3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463"/>
    <w:pPr>
      <w:ind w:left="720"/>
    </w:pPr>
  </w:style>
  <w:style w:type="character" w:styleId="Hyperlink">
    <w:name w:val="Hyperlink"/>
    <w:unhideWhenUsed/>
    <w:rsid w:val="009D2A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6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61C8"/>
    <w:rPr>
      <w:rFonts w:ascii="Segoe UI" w:hAnsi="Segoe UI" w:cs="Segoe UI"/>
      <w:sz w:val="18"/>
      <w:szCs w:val="18"/>
      <w:lang w:val="en-GB" w:eastAsia="en-US"/>
    </w:rPr>
  </w:style>
  <w:style w:type="table" w:styleId="TableClassic4">
    <w:name w:val="Table Classic 4"/>
    <w:basedOn w:val="TableNormal"/>
    <w:rsid w:val="002F3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4D19E8"/>
    <w:rPr>
      <w:sz w:val="24"/>
      <w:szCs w:val="24"/>
      <w:lang w:val="en-GB"/>
    </w:rPr>
  </w:style>
  <w:style w:type="paragraph" w:customStyle="1" w:styleId="2010">
    <w:name w:val="2010 ΠΙΝΑΚΕΣ"/>
    <w:basedOn w:val="Normal"/>
    <w:link w:val="2010Char"/>
    <w:rsid w:val="00DA67AF"/>
    <w:pPr>
      <w:spacing w:after="200" w:line="360" w:lineRule="auto"/>
      <w:jc w:val="center"/>
    </w:pPr>
    <w:rPr>
      <w:rFonts w:asciiTheme="minorHAnsi" w:eastAsiaTheme="minorHAnsi" w:hAnsiTheme="minorHAnsi" w:cstheme="minorBidi"/>
      <w:b/>
      <w:color w:val="FFFFFF"/>
      <w:sz w:val="22"/>
      <w:szCs w:val="22"/>
      <w:lang w:val="el-GR" w:eastAsia="el-GR"/>
    </w:rPr>
  </w:style>
  <w:style w:type="character" w:customStyle="1" w:styleId="2010Char">
    <w:name w:val="2010 ΠΙΝΑΚΕΣ Char"/>
    <w:basedOn w:val="DefaultParagraphFont"/>
    <w:link w:val="2010"/>
    <w:rsid w:val="00DA67AF"/>
    <w:rPr>
      <w:rFonts w:asciiTheme="minorHAnsi" w:eastAsiaTheme="minorHAnsi" w:hAnsiTheme="minorHAnsi" w:cstheme="minorBidi"/>
      <w:b/>
      <w:color w:val="FFFFFF"/>
      <w:sz w:val="22"/>
      <w:szCs w:val="22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311B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11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9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865">
          <w:marLeft w:val="475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1137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849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8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24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689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52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31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253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2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78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4931">
          <w:marLeft w:val="475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35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5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1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80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www.linkedin.com/groups/%CE%A3%CE%A4%CE%95%CE%9B%CE%95%CE%A7%CE%97-%CE%A0%CE%9F%CE%A5-%CE%9A%CE%91%CE%9D%CE%9F%CE%A5%CE%9D-%CE%A4%CE%97-%CE%94%CE%99%CE%91%CE%A6%CE%9F%CE%A1%CE%91-4391238?trk=my_groups-b-grp-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ICAPGroupS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dir.icap.gr/mailimages/PublishingServer/&#925;&#943;&#954;&#959;&#962;_&#932;&#945;&#946;&#959;&#965;&#955;&#940;&#961;&#951;&#962;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twitter.com/ICAPGroup_Press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dir.icap.gr/mailimages/PublishingServer/ICAPGroup.jp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://www.youtube.com/channel/UCqYxP7ElzL66XuKh0qbUkzQ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ica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4957-FB12-406A-871B-74E9C508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ICAP AE</Company>
  <LinksUpToDate>false</LinksUpToDate>
  <CharactersWithSpaces>8609</CharactersWithSpaces>
  <SharedDoc>false</SharedDoc>
  <HLinks>
    <vt:vector size="12" baseType="variant"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mailto:pr@icap.gr</vt:lpwstr>
      </vt:variant>
      <vt:variant>
        <vt:lpwstr/>
      </vt:variant>
      <vt:variant>
        <vt:i4>3473435</vt:i4>
      </vt:variant>
      <vt:variant>
        <vt:i4>6</vt:i4>
      </vt:variant>
      <vt:variant>
        <vt:i4>0</vt:i4>
      </vt:variant>
      <vt:variant>
        <vt:i4>5</vt:i4>
      </vt:variant>
      <vt:variant>
        <vt:lpwstr>mailto:fsideri@icap.gr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ICAP</dc:creator>
  <cp:keywords/>
  <dc:description/>
  <cp:lastModifiedBy>Tzouana Konstantina</cp:lastModifiedBy>
  <cp:revision>2</cp:revision>
  <cp:lastPrinted>2018-07-26T11:54:00Z</cp:lastPrinted>
  <dcterms:created xsi:type="dcterms:W3CDTF">2018-08-02T10:47:00Z</dcterms:created>
  <dcterms:modified xsi:type="dcterms:W3CDTF">2018-08-02T10:47:00Z</dcterms:modified>
</cp:coreProperties>
</file>