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67BB" w14:textId="2AF7A26D" w:rsidR="00627CE7" w:rsidRDefault="00547277" w:rsidP="004464BD">
      <w:pPr>
        <w:pStyle w:val="Heading2"/>
        <w:suppressAutoHyphens/>
      </w:pPr>
      <w:bookmarkStart w:id="0" w:name="_Hlk37697457"/>
      <w:bookmarkEnd w:id="0"/>
      <w:r w:rsidRPr="001B4496">
        <w:rPr>
          <w:szCs w:val="20"/>
        </w:rPr>
        <w:t xml:space="preserve"> </w:t>
      </w:r>
    </w:p>
    <w:p w14:paraId="6B2C1A37" w14:textId="12C88A45" w:rsidR="00627CE7" w:rsidRPr="004C556A" w:rsidRDefault="008D0F16" w:rsidP="00627CE7">
      <w:pPr>
        <w:jc w:val="right"/>
        <w:rPr>
          <w:sz w:val="24"/>
        </w:rPr>
      </w:pPr>
      <w:r w:rsidRPr="004C556A">
        <w:rPr>
          <w:sz w:val="24"/>
        </w:rPr>
        <w:t>Τρίτη</w:t>
      </w:r>
      <w:r w:rsidR="00627CE7" w:rsidRPr="004C556A">
        <w:rPr>
          <w:sz w:val="24"/>
        </w:rPr>
        <w:t>, 1</w:t>
      </w:r>
      <w:r w:rsidRPr="004C556A">
        <w:rPr>
          <w:sz w:val="24"/>
        </w:rPr>
        <w:t>4</w:t>
      </w:r>
      <w:r w:rsidR="00627CE7" w:rsidRPr="004C556A">
        <w:rPr>
          <w:sz w:val="24"/>
        </w:rPr>
        <w:t xml:space="preserve"> Απριλίου 2020</w:t>
      </w:r>
    </w:p>
    <w:p w14:paraId="14A51B36" w14:textId="77777777" w:rsidR="004464BD" w:rsidRPr="004C556A" w:rsidRDefault="004464BD" w:rsidP="008245B8">
      <w:pPr>
        <w:pStyle w:val="Default"/>
        <w:jc w:val="center"/>
        <w:rPr>
          <w:lang w:val="el-GR"/>
        </w:rPr>
      </w:pPr>
    </w:p>
    <w:p w14:paraId="1D11AA81" w14:textId="35F24A95" w:rsidR="004464BD" w:rsidRDefault="004C556A" w:rsidP="008245B8">
      <w:pPr>
        <w:pStyle w:val="Default"/>
        <w:jc w:val="center"/>
        <w:rPr>
          <w:lang w:val="el-GR"/>
        </w:rPr>
      </w:pPr>
      <w:r w:rsidRPr="004C556A">
        <w:rPr>
          <w:lang w:val="el-GR"/>
        </w:rPr>
        <w:t>(</w:t>
      </w:r>
      <w:r w:rsidR="00AD7F5F" w:rsidRPr="00AD7F5F">
        <w:rPr>
          <w:lang w:val="el-GR"/>
        </w:rPr>
        <w:t xml:space="preserve">ΟΡΘΗ ΕΠΑΝΑΛΗΨΗ </w:t>
      </w:r>
      <w:r w:rsidRPr="004C556A">
        <w:rPr>
          <w:lang w:val="el-GR"/>
        </w:rPr>
        <w:t>προς άμεση δημοσίευση)</w:t>
      </w:r>
    </w:p>
    <w:p w14:paraId="26EF41CF" w14:textId="77777777" w:rsidR="008245B8" w:rsidRPr="004C556A" w:rsidRDefault="008245B8" w:rsidP="008245B8">
      <w:pPr>
        <w:pStyle w:val="Default"/>
        <w:jc w:val="center"/>
        <w:rPr>
          <w:lang w:val="el-GR"/>
        </w:rPr>
      </w:pPr>
    </w:p>
    <w:p w14:paraId="0412C7D8" w14:textId="64C7417D" w:rsidR="004464BD" w:rsidRPr="008245B8" w:rsidRDefault="004464BD" w:rsidP="008245B8">
      <w:pPr>
        <w:pStyle w:val="Heading2"/>
        <w:suppressAutoHyphens/>
        <w:rPr>
          <w:sz w:val="24"/>
          <w:szCs w:val="24"/>
        </w:rPr>
      </w:pPr>
      <w:r w:rsidRPr="008245B8">
        <w:rPr>
          <w:b w:val="0"/>
          <w:bCs w:val="0"/>
          <w:sz w:val="24"/>
          <w:szCs w:val="24"/>
        </w:rPr>
        <w:t xml:space="preserve">Μελέτη ICAP: </w:t>
      </w:r>
      <w:r w:rsidRPr="008245B8">
        <w:rPr>
          <w:sz w:val="24"/>
          <w:szCs w:val="24"/>
          <w:lang w:val="en-US"/>
        </w:rPr>
        <w:t>O</w:t>
      </w:r>
      <w:r w:rsidRPr="008245B8">
        <w:rPr>
          <w:sz w:val="24"/>
          <w:szCs w:val="24"/>
        </w:rPr>
        <w:t xml:space="preserve"> ΕΛΛΗΝΙΚΟΣ ΕΤΑΙΡΙΚΟΣ ΤΟΜΕΑΣ</w:t>
      </w:r>
    </w:p>
    <w:p w14:paraId="4A52CC1E" w14:textId="43BC74EC" w:rsidR="004464BD" w:rsidRPr="008245B8" w:rsidRDefault="008245B8" w:rsidP="008245B8">
      <w:pPr>
        <w:suppressAutoHyphens/>
        <w:jc w:val="center"/>
        <w:rPr>
          <w:rStyle w:val="Strong"/>
          <w:sz w:val="22"/>
          <w:szCs w:val="22"/>
        </w:rPr>
      </w:pPr>
      <w:r w:rsidRPr="008245B8">
        <w:rPr>
          <w:rStyle w:val="Strong"/>
          <w:sz w:val="22"/>
          <w:szCs w:val="22"/>
        </w:rPr>
        <w:t>Αύξηση του κύκλου εργασιών και σημαντική διεύρυνση της καθαρής κερδοφορίας</w:t>
      </w:r>
      <w:r>
        <w:rPr>
          <w:rStyle w:val="Strong"/>
          <w:sz w:val="22"/>
          <w:szCs w:val="22"/>
        </w:rPr>
        <w:t>,</w:t>
      </w:r>
      <w:r w:rsidRPr="008245B8">
        <w:rPr>
          <w:rStyle w:val="Strong"/>
          <w:sz w:val="22"/>
          <w:szCs w:val="22"/>
        </w:rPr>
        <w:t xml:space="preserve"> το 2018.</w:t>
      </w:r>
    </w:p>
    <w:p w14:paraId="305A1908" w14:textId="77777777" w:rsidR="008245B8" w:rsidRDefault="008245B8" w:rsidP="008245B8">
      <w:pPr>
        <w:suppressAutoHyphens/>
        <w:jc w:val="center"/>
        <w:rPr>
          <w:szCs w:val="20"/>
        </w:rPr>
      </w:pPr>
    </w:p>
    <w:p w14:paraId="7899DB57" w14:textId="61105326" w:rsidR="004E03E3" w:rsidRPr="00577A8B" w:rsidRDefault="004E03E3" w:rsidP="004C556A">
      <w:pPr>
        <w:suppressAutoHyphens/>
        <w:spacing w:line="360" w:lineRule="auto"/>
        <w:ind w:firstLine="720"/>
        <w:rPr>
          <w:szCs w:val="20"/>
        </w:rPr>
      </w:pPr>
      <w:r w:rsidRPr="00577A8B">
        <w:rPr>
          <w:szCs w:val="20"/>
        </w:rPr>
        <w:t>Σε ανοδική τροχιά κινείται η ελληνική οικονομία</w:t>
      </w:r>
      <w:r w:rsidR="00A44EE2">
        <w:rPr>
          <w:szCs w:val="20"/>
        </w:rPr>
        <w:t xml:space="preserve"> την τελευταία τριετία,</w:t>
      </w:r>
      <w:r w:rsidRPr="00577A8B">
        <w:rPr>
          <w:szCs w:val="20"/>
        </w:rPr>
        <w:t xml:space="preserve"> καθώς το ΑΕΠ της χώρας καταγράφει</w:t>
      </w:r>
      <w:r w:rsidR="008D690A">
        <w:rPr>
          <w:szCs w:val="20"/>
        </w:rPr>
        <w:t xml:space="preserve"> χαμηλούς αλλά</w:t>
      </w:r>
      <w:r w:rsidR="00A44EE2">
        <w:rPr>
          <w:szCs w:val="20"/>
        </w:rPr>
        <w:t xml:space="preserve"> </w:t>
      </w:r>
      <w:r w:rsidRPr="00577A8B">
        <w:rPr>
          <w:szCs w:val="20"/>
        </w:rPr>
        <w:t xml:space="preserve">θετικούς ρυθμούς μεταβολής </w:t>
      </w:r>
      <w:r w:rsidR="00171EE2" w:rsidRPr="00577A8B">
        <w:rPr>
          <w:szCs w:val="20"/>
        </w:rPr>
        <w:t>(2018:</w:t>
      </w:r>
      <w:r w:rsidR="00D7161C">
        <w:rPr>
          <w:szCs w:val="20"/>
        </w:rPr>
        <w:t>1,9%</w:t>
      </w:r>
      <w:r w:rsidR="00171EE2" w:rsidRPr="00577A8B">
        <w:rPr>
          <w:szCs w:val="20"/>
        </w:rPr>
        <w:t xml:space="preserve"> 2017:</w:t>
      </w:r>
      <w:r w:rsidR="00D7161C">
        <w:rPr>
          <w:szCs w:val="20"/>
        </w:rPr>
        <w:t>1,5% σε όρους όγκου</w:t>
      </w:r>
      <w:r w:rsidR="00171EE2" w:rsidRPr="00577A8B">
        <w:rPr>
          <w:szCs w:val="20"/>
        </w:rPr>
        <w:t>)</w:t>
      </w:r>
      <w:r w:rsidR="00A44EE2">
        <w:rPr>
          <w:szCs w:val="20"/>
        </w:rPr>
        <w:t>,</w:t>
      </w:r>
      <w:r w:rsidR="00171EE2" w:rsidRPr="00577A8B">
        <w:rPr>
          <w:szCs w:val="20"/>
        </w:rPr>
        <w:t xml:space="preserve"> </w:t>
      </w:r>
      <w:r w:rsidRPr="00577A8B">
        <w:rPr>
          <w:szCs w:val="20"/>
        </w:rPr>
        <w:t xml:space="preserve">μετά από μια μακρά περίοδο </w:t>
      </w:r>
      <w:r w:rsidR="00A44EE2">
        <w:rPr>
          <w:szCs w:val="20"/>
        </w:rPr>
        <w:t xml:space="preserve">φθίνουσας </w:t>
      </w:r>
      <w:r w:rsidRPr="00577A8B">
        <w:rPr>
          <w:szCs w:val="20"/>
        </w:rPr>
        <w:t>πορείας</w:t>
      </w:r>
      <w:r w:rsidR="00171EE2" w:rsidRPr="00577A8B">
        <w:rPr>
          <w:szCs w:val="20"/>
        </w:rPr>
        <w:t>.</w:t>
      </w:r>
      <w:r w:rsidRPr="00577A8B">
        <w:rPr>
          <w:szCs w:val="20"/>
        </w:rPr>
        <w:t xml:space="preserve"> Ενθαρρυντικό είναι το γεγονός ότι η μεταβολή του ΑΕΠ έλαβε θετικό πρόσημο και</w:t>
      </w:r>
      <w:r w:rsidR="00577A8B" w:rsidRPr="00577A8B">
        <w:rPr>
          <w:szCs w:val="20"/>
        </w:rPr>
        <w:t xml:space="preserve"> τα</w:t>
      </w:r>
      <w:r w:rsidRPr="00577A8B">
        <w:rPr>
          <w:szCs w:val="20"/>
        </w:rPr>
        <w:t xml:space="preserve"> πρώτ</w:t>
      </w:r>
      <w:r w:rsidR="00171EE2" w:rsidRPr="00577A8B">
        <w:rPr>
          <w:szCs w:val="20"/>
        </w:rPr>
        <w:t>α τρία τρίμηνα</w:t>
      </w:r>
      <w:r w:rsidRPr="00577A8B">
        <w:rPr>
          <w:szCs w:val="20"/>
        </w:rPr>
        <w:t xml:space="preserve"> </w:t>
      </w:r>
      <w:r w:rsidR="00171EE2" w:rsidRPr="00577A8B">
        <w:rPr>
          <w:szCs w:val="20"/>
        </w:rPr>
        <w:t>του 2019 (3</w:t>
      </w:r>
      <w:r w:rsidR="00530D16" w:rsidRPr="00530D16">
        <w:rPr>
          <w:szCs w:val="20"/>
          <w:vertAlign w:val="superscript"/>
        </w:rPr>
        <w:t>ο</w:t>
      </w:r>
      <w:r w:rsidR="00530D16">
        <w:rPr>
          <w:szCs w:val="20"/>
        </w:rPr>
        <w:t xml:space="preserve"> </w:t>
      </w:r>
      <w:r w:rsidR="00171EE2" w:rsidRPr="00577A8B">
        <w:rPr>
          <w:szCs w:val="20"/>
        </w:rPr>
        <w:t>τρίμηνο:+2,3%</w:t>
      </w:r>
      <w:r w:rsidR="00D7161C">
        <w:rPr>
          <w:rStyle w:val="FootnoteReference"/>
          <w:szCs w:val="20"/>
        </w:rPr>
        <w:footnoteReference w:id="1"/>
      </w:r>
      <w:r w:rsidR="00171EE2" w:rsidRPr="00577A8B">
        <w:rPr>
          <w:szCs w:val="20"/>
        </w:rPr>
        <w:t xml:space="preserve">). </w:t>
      </w:r>
    </w:p>
    <w:p w14:paraId="4180803B" w14:textId="77777777" w:rsidR="00BE4E5C" w:rsidRPr="00577A8B" w:rsidRDefault="00BE4E5C" w:rsidP="00BE4E5C">
      <w:pPr>
        <w:rPr>
          <w:szCs w:val="20"/>
        </w:rPr>
      </w:pPr>
    </w:p>
    <w:p w14:paraId="79C4395D" w14:textId="77777777" w:rsidR="00E16BB2" w:rsidRPr="00577A8B" w:rsidRDefault="00BE4E5C" w:rsidP="00ED24B5">
      <w:pPr>
        <w:spacing w:line="360" w:lineRule="auto"/>
        <w:ind w:firstLine="720"/>
        <w:rPr>
          <w:szCs w:val="20"/>
        </w:rPr>
      </w:pPr>
      <w:r w:rsidRPr="00577A8B">
        <w:rPr>
          <w:szCs w:val="20"/>
        </w:rPr>
        <w:t>Η</w:t>
      </w:r>
      <w:r w:rsidR="007815EE" w:rsidRPr="00577A8B">
        <w:rPr>
          <w:szCs w:val="20"/>
        </w:rPr>
        <w:t xml:space="preserve"> </w:t>
      </w:r>
      <w:r w:rsidRPr="00577A8B">
        <w:rPr>
          <w:szCs w:val="20"/>
        </w:rPr>
        <w:t>ανάκαμψη</w:t>
      </w:r>
      <w:r w:rsidR="007815EE" w:rsidRPr="00577A8B">
        <w:rPr>
          <w:szCs w:val="20"/>
        </w:rPr>
        <w:t xml:space="preserve">, έστω και ελαφρά, της </w:t>
      </w:r>
      <w:r w:rsidRPr="00577A8B">
        <w:rPr>
          <w:szCs w:val="20"/>
        </w:rPr>
        <w:t>ελληνικής οικονομίας</w:t>
      </w:r>
      <w:r w:rsidR="007815EE" w:rsidRPr="00577A8B">
        <w:rPr>
          <w:szCs w:val="20"/>
        </w:rPr>
        <w:t xml:space="preserve"> έχει επιδράσει θετικά στον εταιρικό τομέα, </w:t>
      </w:r>
      <w:r w:rsidR="00A44EE2">
        <w:rPr>
          <w:szCs w:val="20"/>
        </w:rPr>
        <w:t xml:space="preserve">ο οποίος κατέγραψε </w:t>
      </w:r>
      <w:r w:rsidR="00B84A59" w:rsidRPr="005E38EE">
        <w:rPr>
          <w:b/>
          <w:bCs/>
          <w:szCs w:val="20"/>
        </w:rPr>
        <w:t>αξιόλογες επιδόσεις</w:t>
      </w:r>
      <w:r w:rsidR="00A44EE2">
        <w:rPr>
          <w:szCs w:val="20"/>
        </w:rPr>
        <w:t xml:space="preserve"> </w:t>
      </w:r>
      <w:r w:rsidR="00B84A59">
        <w:rPr>
          <w:szCs w:val="20"/>
        </w:rPr>
        <w:t xml:space="preserve">και το </w:t>
      </w:r>
      <w:r w:rsidR="00B84A59" w:rsidRPr="005E38EE">
        <w:rPr>
          <w:b/>
          <w:bCs/>
          <w:szCs w:val="20"/>
        </w:rPr>
        <w:t>2018.</w:t>
      </w:r>
      <w:r w:rsidR="00B84A59">
        <w:rPr>
          <w:szCs w:val="20"/>
        </w:rPr>
        <w:t xml:space="preserve"> </w:t>
      </w:r>
      <w:r w:rsidR="007815EE" w:rsidRPr="00577A8B">
        <w:rPr>
          <w:szCs w:val="20"/>
        </w:rPr>
        <w:t>Η έντονη και επίμονη προσπάθεια των ελληνικών επιχειρήσεων επί σειρά ετών, προκειμένου να</w:t>
      </w:r>
      <w:r w:rsidR="00577A8B" w:rsidRPr="00577A8B">
        <w:rPr>
          <w:szCs w:val="20"/>
        </w:rPr>
        <w:t xml:space="preserve"> ανταπεξέλθουν στις εκάστοτε </w:t>
      </w:r>
      <w:r w:rsidR="007815EE" w:rsidRPr="00577A8B">
        <w:rPr>
          <w:szCs w:val="20"/>
        </w:rPr>
        <w:t>συνθήκες της αγοράς</w:t>
      </w:r>
      <w:r w:rsidR="00E16BB2" w:rsidRPr="00577A8B">
        <w:rPr>
          <w:szCs w:val="20"/>
        </w:rPr>
        <w:t xml:space="preserve">, </w:t>
      </w:r>
      <w:r w:rsidR="007815EE" w:rsidRPr="00577A8B">
        <w:rPr>
          <w:szCs w:val="20"/>
        </w:rPr>
        <w:t>φαίνεται ότι αποδίδ</w:t>
      </w:r>
      <w:r w:rsidR="00E16BB2" w:rsidRPr="00577A8B">
        <w:rPr>
          <w:szCs w:val="20"/>
        </w:rPr>
        <w:t>ει</w:t>
      </w:r>
      <w:r w:rsidR="007815EE" w:rsidRPr="00577A8B">
        <w:rPr>
          <w:szCs w:val="20"/>
        </w:rPr>
        <w:t xml:space="preserve"> καρπούς καθώς </w:t>
      </w:r>
      <w:r w:rsidR="00A44EE2">
        <w:rPr>
          <w:szCs w:val="20"/>
        </w:rPr>
        <w:t>διαπιστώνεται βελτίωση των οικονομικών τους αποτελεσμάτων</w:t>
      </w:r>
      <w:r w:rsidR="007815EE" w:rsidRPr="00577A8B">
        <w:rPr>
          <w:szCs w:val="20"/>
        </w:rPr>
        <w:t xml:space="preserve"> για τέταρτη συνεχόμενη χρονιά. </w:t>
      </w:r>
      <w:r w:rsidR="00E16BB2" w:rsidRPr="00577A8B">
        <w:rPr>
          <w:szCs w:val="20"/>
        </w:rPr>
        <w:t>Η συνολική εικόνα που προκύπτει από τους ισολογισμούς και</w:t>
      </w:r>
      <w:r w:rsidR="00A44EE2">
        <w:rPr>
          <w:szCs w:val="20"/>
        </w:rPr>
        <w:t xml:space="preserve"> τα </w:t>
      </w:r>
      <w:r w:rsidR="00E16BB2" w:rsidRPr="00577A8B">
        <w:rPr>
          <w:szCs w:val="20"/>
        </w:rPr>
        <w:t>αποτελέσματα</w:t>
      </w:r>
      <w:r w:rsidR="00A44EE2">
        <w:rPr>
          <w:szCs w:val="20"/>
        </w:rPr>
        <w:t xml:space="preserve"> χρήσης</w:t>
      </w:r>
      <w:r w:rsidR="00E16BB2" w:rsidRPr="00577A8B">
        <w:rPr>
          <w:szCs w:val="20"/>
        </w:rPr>
        <w:t xml:space="preserve"> όλων των επιχειρήσεων του δείγματος είναι σαφώς θετική, παρά τις όποιες διαφορές χαρακτηρίζουν κάθε τομέα δραστηριότητας.</w:t>
      </w:r>
    </w:p>
    <w:p w14:paraId="77D98E22" w14:textId="77777777" w:rsidR="00E16BB2" w:rsidRPr="005E38EE" w:rsidRDefault="00E16BB2" w:rsidP="00E16BB2">
      <w:pPr>
        <w:suppressAutoHyphens/>
        <w:spacing w:line="360" w:lineRule="auto"/>
        <w:rPr>
          <w:szCs w:val="20"/>
        </w:rPr>
      </w:pPr>
      <w:r w:rsidRPr="005E38EE">
        <w:rPr>
          <w:szCs w:val="20"/>
        </w:rPr>
        <w:t xml:space="preserve">Το 2018 ο ελληνικός </w:t>
      </w:r>
      <w:r w:rsidRPr="005E38EE">
        <w:rPr>
          <w:b/>
          <w:bCs/>
          <w:szCs w:val="20"/>
        </w:rPr>
        <w:t>εταιρικός τομέας</w:t>
      </w:r>
      <w:r w:rsidRPr="005E38EE">
        <w:rPr>
          <w:szCs w:val="20"/>
        </w:rPr>
        <w:t xml:space="preserve"> εμφάνισε αξιόλογη </w:t>
      </w:r>
      <w:r w:rsidRPr="005E38EE">
        <w:rPr>
          <w:b/>
          <w:bCs/>
          <w:szCs w:val="20"/>
        </w:rPr>
        <w:t>αύξηση</w:t>
      </w:r>
      <w:r w:rsidRPr="005E38EE">
        <w:rPr>
          <w:szCs w:val="20"/>
        </w:rPr>
        <w:t xml:space="preserve"> στον </w:t>
      </w:r>
      <w:r w:rsidRPr="005E38EE">
        <w:rPr>
          <w:b/>
          <w:bCs/>
          <w:szCs w:val="20"/>
        </w:rPr>
        <w:t>κύκλο εργασιών</w:t>
      </w:r>
      <w:r w:rsidRPr="005E38EE">
        <w:rPr>
          <w:szCs w:val="20"/>
        </w:rPr>
        <w:t xml:space="preserve"> του και σημαντική </w:t>
      </w:r>
      <w:r w:rsidRPr="005E38EE">
        <w:rPr>
          <w:b/>
          <w:bCs/>
          <w:szCs w:val="20"/>
        </w:rPr>
        <w:t>διεύρυνση της κερδοφορίας</w:t>
      </w:r>
      <w:r w:rsidRPr="005E38EE">
        <w:rPr>
          <w:szCs w:val="20"/>
        </w:rPr>
        <w:t xml:space="preserve"> του. </w:t>
      </w:r>
    </w:p>
    <w:p w14:paraId="702E972C" w14:textId="77777777" w:rsidR="007815EE" w:rsidRDefault="007815EE" w:rsidP="00593BF7">
      <w:pPr>
        <w:suppressAutoHyphens/>
        <w:spacing w:line="360" w:lineRule="auto"/>
        <w:rPr>
          <w:szCs w:val="20"/>
          <w:highlight w:val="yellow"/>
        </w:rPr>
      </w:pPr>
    </w:p>
    <w:p w14:paraId="7D7E426C" w14:textId="26F0068A" w:rsidR="004003F7" w:rsidRDefault="00E16BB2" w:rsidP="00385068">
      <w:pPr>
        <w:suppressAutoHyphens/>
        <w:spacing w:line="360" w:lineRule="auto"/>
        <w:ind w:firstLine="720"/>
        <w:rPr>
          <w:szCs w:val="20"/>
        </w:rPr>
      </w:pPr>
      <w:r w:rsidRPr="00BD2C60">
        <w:rPr>
          <w:szCs w:val="20"/>
        </w:rPr>
        <w:t xml:space="preserve">Τα </w:t>
      </w:r>
      <w:r w:rsidR="004003F7" w:rsidRPr="00BD2C60">
        <w:rPr>
          <w:szCs w:val="20"/>
        </w:rPr>
        <w:t>οικονομικά απ</w:t>
      </w:r>
      <w:r w:rsidR="00B217F4" w:rsidRPr="00BD2C60">
        <w:rPr>
          <w:szCs w:val="20"/>
        </w:rPr>
        <w:t xml:space="preserve">οτελέσματα του εταιρικού </w:t>
      </w:r>
      <w:r w:rsidR="00B217F4" w:rsidRPr="00183716">
        <w:rPr>
          <w:szCs w:val="20"/>
        </w:rPr>
        <w:t>τομέα</w:t>
      </w:r>
      <w:bookmarkStart w:id="1" w:name="_Ref373485043"/>
      <w:r w:rsidR="00656E61" w:rsidRPr="00183716">
        <w:rPr>
          <w:szCs w:val="20"/>
          <w:vertAlign w:val="superscript"/>
          <w:lang w:val="en-US"/>
        </w:rPr>
        <w:footnoteReference w:id="2"/>
      </w:r>
      <w:bookmarkEnd w:id="1"/>
      <w:r w:rsidR="00B217F4" w:rsidRPr="00183716">
        <w:rPr>
          <w:szCs w:val="20"/>
        </w:rPr>
        <w:t xml:space="preserve"> </w:t>
      </w:r>
      <w:r w:rsidR="004003F7" w:rsidRPr="00BD2C60">
        <w:rPr>
          <w:szCs w:val="20"/>
        </w:rPr>
        <w:t>συνολικά, προέρχονται από τους δημοσιευμένους ισολογισμούς και τα αποτελέσματα</w:t>
      </w:r>
      <w:r w:rsidR="00843377" w:rsidRPr="00BD2C60">
        <w:rPr>
          <w:szCs w:val="20"/>
        </w:rPr>
        <w:t xml:space="preserve"> χρήσης </w:t>
      </w:r>
      <w:r w:rsidR="00843377" w:rsidRPr="0074667F">
        <w:rPr>
          <w:b/>
          <w:bCs/>
          <w:szCs w:val="20"/>
        </w:rPr>
        <w:t>15.6</w:t>
      </w:r>
      <w:r w:rsidR="0074667F" w:rsidRPr="0074667F">
        <w:rPr>
          <w:b/>
          <w:bCs/>
          <w:szCs w:val="20"/>
        </w:rPr>
        <w:t>14</w:t>
      </w:r>
      <w:r w:rsidR="00843377" w:rsidRPr="00BD2C60">
        <w:rPr>
          <w:szCs w:val="20"/>
        </w:rPr>
        <w:t xml:space="preserve"> </w:t>
      </w:r>
      <w:r w:rsidR="004003F7" w:rsidRPr="00BD2C60">
        <w:rPr>
          <w:szCs w:val="20"/>
        </w:rPr>
        <w:t>επιχειρήσεων, για τα έτη</w:t>
      </w:r>
      <w:r w:rsidR="00843377" w:rsidRPr="00BD2C60">
        <w:rPr>
          <w:szCs w:val="20"/>
        </w:rPr>
        <w:t xml:space="preserve"> 2018</w:t>
      </w:r>
      <w:r w:rsidR="004003F7" w:rsidRPr="00BD2C60">
        <w:rPr>
          <w:szCs w:val="20"/>
        </w:rPr>
        <w:t xml:space="preserve"> και</w:t>
      </w:r>
      <w:r w:rsidR="00843377" w:rsidRPr="00BD2C60">
        <w:rPr>
          <w:szCs w:val="20"/>
        </w:rPr>
        <w:t xml:space="preserve"> 2017.</w:t>
      </w:r>
      <w:r w:rsidR="004003F7" w:rsidRPr="00BD2C60">
        <w:rPr>
          <w:szCs w:val="20"/>
        </w:rPr>
        <w:t xml:space="preserve"> Τα οικονομικά αυτά στοιχεία συνέλεξε και επεξεργάστηκε η ICAP. Οι συγκεντρωτικοί πίνακες και τα διαγράμματα που δημιουργήθηκαν από την επεξεργασία των δεδομένων παρουσιάζονται στην νέα έκδοση του τόμου «Η Ελλάδα σε Αριθμούς».</w:t>
      </w:r>
      <w:r w:rsidR="00DD1F2A" w:rsidRPr="00BD2C60">
        <w:rPr>
          <w:szCs w:val="20"/>
        </w:rPr>
        <w:t xml:space="preserve"> Επισημαίνεται</w:t>
      </w:r>
      <w:r w:rsidR="004003F7" w:rsidRPr="00BD2C60">
        <w:rPr>
          <w:szCs w:val="20"/>
        </w:rPr>
        <w:t xml:space="preserve"> ότι περιλαμβάνονται</w:t>
      </w:r>
      <w:r w:rsidR="00454C8F" w:rsidRPr="00BD2C60">
        <w:rPr>
          <w:szCs w:val="20"/>
        </w:rPr>
        <w:t xml:space="preserve"> </w:t>
      </w:r>
      <w:r w:rsidR="004003F7" w:rsidRPr="00BD2C60">
        <w:rPr>
          <w:szCs w:val="20"/>
        </w:rPr>
        <w:t xml:space="preserve">τα χρηματοοικονομικά δεδομένα των εταιρειών για τις οποίες υπήρχε διαθέσιμος ισολογισμός για τα έτη </w:t>
      </w:r>
      <w:r w:rsidR="00DD1F2A" w:rsidRPr="00BD2C60">
        <w:rPr>
          <w:szCs w:val="20"/>
        </w:rPr>
        <w:t>2018</w:t>
      </w:r>
      <w:r w:rsidR="004003F7" w:rsidRPr="00BD2C60">
        <w:rPr>
          <w:szCs w:val="20"/>
        </w:rPr>
        <w:t xml:space="preserve"> και</w:t>
      </w:r>
      <w:r w:rsidR="00DD1F2A" w:rsidRPr="00BD2C60">
        <w:rPr>
          <w:szCs w:val="20"/>
        </w:rPr>
        <w:t xml:space="preserve"> 2017</w:t>
      </w:r>
      <w:r w:rsidR="004003F7" w:rsidRPr="00BD2C60">
        <w:rPr>
          <w:szCs w:val="20"/>
        </w:rPr>
        <w:t xml:space="preserve"> μέχρι την ημερομηνία οριστικοποίησης του δείγματος </w:t>
      </w:r>
      <w:r w:rsidR="004003F7" w:rsidRPr="00DA3421">
        <w:rPr>
          <w:b/>
          <w:bCs/>
          <w:szCs w:val="20"/>
        </w:rPr>
        <w:t>(</w:t>
      </w:r>
      <w:r w:rsidR="00BF2C5F" w:rsidRPr="00DA3421">
        <w:rPr>
          <w:b/>
          <w:bCs/>
          <w:szCs w:val="20"/>
        </w:rPr>
        <w:t>3</w:t>
      </w:r>
      <w:r w:rsidR="004003F7" w:rsidRPr="00DA3421">
        <w:rPr>
          <w:b/>
          <w:bCs/>
          <w:szCs w:val="20"/>
        </w:rPr>
        <w:t xml:space="preserve">η Ιανουαρίου </w:t>
      </w:r>
      <w:r w:rsidR="00BF2C5F" w:rsidRPr="00DA3421">
        <w:rPr>
          <w:b/>
          <w:bCs/>
          <w:szCs w:val="20"/>
        </w:rPr>
        <w:t>2020</w:t>
      </w:r>
      <w:r w:rsidR="004003F7" w:rsidRPr="00DA3421">
        <w:rPr>
          <w:b/>
          <w:bCs/>
          <w:szCs w:val="20"/>
        </w:rPr>
        <w:t>)</w:t>
      </w:r>
      <w:r w:rsidR="004003F7" w:rsidRPr="00BF2C5F">
        <w:rPr>
          <w:szCs w:val="20"/>
        </w:rPr>
        <w:t xml:space="preserve">. </w:t>
      </w:r>
      <w:r w:rsidR="004003F7" w:rsidRPr="00BD2C60">
        <w:rPr>
          <w:szCs w:val="20"/>
        </w:rPr>
        <w:t>Εξαιρούνται οι εταιρείες τα αποτελέσματα χρήσ</w:t>
      </w:r>
      <w:r w:rsidR="001E434B">
        <w:rPr>
          <w:szCs w:val="20"/>
        </w:rPr>
        <w:t>η</w:t>
      </w:r>
      <w:r w:rsidR="004003F7" w:rsidRPr="00BD2C60">
        <w:rPr>
          <w:szCs w:val="20"/>
        </w:rPr>
        <w:t>ς των οποίων δεν περιλαμβάνουν κύκλο εργασιών και λειτουργικά έσοδα και για τα δύο έτη. Για τις εταιρείες που ανήκουν σε κλάδους που αποδίδουν Ειδικό Φόρο Κατανάλωσης (ΕΦΚ), έχει ληφθεί υπόψη ο Καθαρός Κύκλος Εργασιών όπου αυτός αναγράφεται. Η ταξινόμηση των εταιρειών ακολουθεί το ευρωπαϊκό σύστημα ταξινόμησης των κλάδων οικονομικής δραστηριότητας NACE - αναθεώρηση 2 (εξαιρούνται τα NACE 84,</w:t>
      </w:r>
      <w:r w:rsidR="009B513A">
        <w:rPr>
          <w:szCs w:val="20"/>
        </w:rPr>
        <w:t xml:space="preserve"> </w:t>
      </w:r>
      <w:r w:rsidR="004003F7" w:rsidRPr="00BD2C60">
        <w:rPr>
          <w:szCs w:val="20"/>
        </w:rPr>
        <w:t>94).</w:t>
      </w:r>
      <w:r w:rsidR="00D73448" w:rsidRPr="00BD2C60">
        <w:rPr>
          <w:szCs w:val="20"/>
        </w:rPr>
        <w:t xml:space="preserve"> </w:t>
      </w:r>
    </w:p>
    <w:p w14:paraId="6FC71EDF" w14:textId="77777777" w:rsidR="000618DD" w:rsidRPr="00BD2C60" w:rsidRDefault="00C445CA" w:rsidP="004C556A">
      <w:pPr>
        <w:suppressAutoHyphens/>
        <w:spacing w:line="360" w:lineRule="auto"/>
        <w:ind w:firstLine="720"/>
        <w:rPr>
          <w:szCs w:val="20"/>
        </w:rPr>
      </w:pPr>
      <w:r w:rsidRPr="00BD2C60">
        <w:rPr>
          <w:szCs w:val="20"/>
        </w:rPr>
        <w:lastRenderedPageBreak/>
        <w:t>Από την επεξερ</w:t>
      </w:r>
      <w:r w:rsidR="00947FE0" w:rsidRPr="00BD2C60">
        <w:rPr>
          <w:szCs w:val="20"/>
        </w:rPr>
        <w:t>γασία</w:t>
      </w:r>
      <w:r w:rsidR="00BC25B1" w:rsidRPr="00BD2C60">
        <w:rPr>
          <w:szCs w:val="20"/>
        </w:rPr>
        <w:t xml:space="preserve"> των συγκεντρωτικών μεγεθών </w:t>
      </w:r>
      <w:r w:rsidR="002771A1" w:rsidRPr="00BD2C60">
        <w:rPr>
          <w:b/>
          <w:szCs w:val="20"/>
        </w:rPr>
        <w:t>15.168</w:t>
      </w:r>
      <w:r w:rsidR="00393E5D" w:rsidRPr="00BD2C60">
        <w:rPr>
          <w:b/>
          <w:szCs w:val="20"/>
        </w:rPr>
        <w:t xml:space="preserve"> </w:t>
      </w:r>
      <w:r w:rsidR="00F10776" w:rsidRPr="00A44EE2">
        <w:rPr>
          <w:b/>
          <w:bCs/>
          <w:szCs w:val="20"/>
        </w:rPr>
        <w:t>επιχειρήσεων,</w:t>
      </w:r>
      <w:r w:rsidR="00F10776" w:rsidRPr="00BD2C60">
        <w:rPr>
          <w:szCs w:val="20"/>
        </w:rPr>
        <w:t xml:space="preserve"> στις οποίες </w:t>
      </w:r>
      <w:r w:rsidR="00F10776" w:rsidRPr="00A44EE2">
        <w:rPr>
          <w:szCs w:val="20"/>
        </w:rPr>
        <w:t>δεν περιλαμβάνονται αυτές του χρηματοπιστωτικού τομέα,</w:t>
      </w:r>
      <w:r w:rsidRPr="00BD2C60">
        <w:rPr>
          <w:szCs w:val="20"/>
        </w:rPr>
        <w:t xml:space="preserve"> προκύπτει ότι</w:t>
      </w:r>
      <w:r w:rsidR="008E7574" w:rsidRPr="00BD2C60">
        <w:rPr>
          <w:szCs w:val="20"/>
        </w:rPr>
        <w:t xml:space="preserve"> ο συνολικός</w:t>
      </w:r>
      <w:r w:rsidR="008E7574" w:rsidRPr="00BD2C60">
        <w:rPr>
          <w:b/>
          <w:szCs w:val="20"/>
        </w:rPr>
        <w:t xml:space="preserve"> κύκλος εργασιών</w:t>
      </w:r>
      <w:r w:rsidR="001320E8" w:rsidRPr="00BD2C60">
        <w:rPr>
          <w:b/>
          <w:szCs w:val="20"/>
        </w:rPr>
        <w:t xml:space="preserve"> </w:t>
      </w:r>
      <w:r w:rsidR="00947FE0" w:rsidRPr="00BD2C60">
        <w:rPr>
          <w:szCs w:val="20"/>
        </w:rPr>
        <w:t>τους</w:t>
      </w:r>
      <w:r w:rsidR="005B6D58" w:rsidRPr="00BD2C60">
        <w:rPr>
          <w:szCs w:val="20"/>
        </w:rPr>
        <w:t xml:space="preserve"> </w:t>
      </w:r>
      <w:r w:rsidR="005B6D58" w:rsidRPr="00BD2C60">
        <w:rPr>
          <w:b/>
          <w:szCs w:val="20"/>
        </w:rPr>
        <w:t xml:space="preserve">αυξήθηκε κατά </w:t>
      </w:r>
      <w:r w:rsidR="00875D9A" w:rsidRPr="00BD2C60">
        <w:rPr>
          <w:b/>
          <w:szCs w:val="20"/>
        </w:rPr>
        <w:t>9,</w:t>
      </w:r>
      <w:r w:rsidR="00BF486D">
        <w:rPr>
          <w:b/>
          <w:szCs w:val="20"/>
        </w:rPr>
        <w:t>8</w:t>
      </w:r>
      <w:r w:rsidR="00875D9A" w:rsidRPr="00BD2C60">
        <w:rPr>
          <w:b/>
          <w:szCs w:val="20"/>
        </w:rPr>
        <w:t>%</w:t>
      </w:r>
      <w:r w:rsidR="00947FE0" w:rsidRPr="00BD2C60">
        <w:rPr>
          <w:szCs w:val="20"/>
        </w:rPr>
        <w:t xml:space="preserve"> το 201</w:t>
      </w:r>
      <w:r w:rsidR="002771A1" w:rsidRPr="00BD2C60">
        <w:rPr>
          <w:szCs w:val="20"/>
        </w:rPr>
        <w:t>8</w:t>
      </w:r>
      <w:r w:rsidR="00F928C8" w:rsidRPr="00BD2C60">
        <w:rPr>
          <w:szCs w:val="20"/>
        </w:rPr>
        <w:t xml:space="preserve"> σε σχέση με το 201</w:t>
      </w:r>
      <w:r w:rsidR="002771A1" w:rsidRPr="00BD2C60">
        <w:rPr>
          <w:szCs w:val="20"/>
        </w:rPr>
        <w:t>7</w:t>
      </w:r>
      <w:r w:rsidR="00947FE0" w:rsidRPr="00BD2C60">
        <w:rPr>
          <w:szCs w:val="20"/>
        </w:rPr>
        <w:t xml:space="preserve"> και διαμορφώθηκε σε </w:t>
      </w:r>
      <w:r w:rsidR="00875D9A" w:rsidRPr="00BD2C60">
        <w:rPr>
          <w:b/>
          <w:szCs w:val="20"/>
        </w:rPr>
        <w:t>€</w:t>
      </w:r>
      <w:r w:rsidR="002771A1" w:rsidRPr="00BD2C60">
        <w:rPr>
          <w:b/>
          <w:szCs w:val="20"/>
        </w:rPr>
        <w:t>154,</w:t>
      </w:r>
      <w:r w:rsidR="000618DD" w:rsidRPr="00BD2C60">
        <w:rPr>
          <w:b/>
          <w:szCs w:val="20"/>
        </w:rPr>
        <w:t>56</w:t>
      </w:r>
      <w:r w:rsidR="00947FE0" w:rsidRPr="00BD2C60">
        <w:rPr>
          <w:b/>
          <w:szCs w:val="20"/>
        </w:rPr>
        <w:t xml:space="preserve"> δισ.</w:t>
      </w:r>
      <w:r w:rsidR="00947FE0" w:rsidRPr="00BD2C60">
        <w:rPr>
          <w:szCs w:val="20"/>
        </w:rPr>
        <w:t xml:space="preserve"> </w:t>
      </w:r>
      <w:r w:rsidR="000618DD" w:rsidRPr="00BD2C60">
        <w:rPr>
          <w:szCs w:val="20"/>
        </w:rPr>
        <w:t>Επισημαίνεται ότι,</w:t>
      </w:r>
      <w:r w:rsidR="00EE751F" w:rsidRPr="00BD2C60">
        <w:rPr>
          <w:szCs w:val="20"/>
        </w:rPr>
        <w:t xml:space="preserve"> </w:t>
      </w:r>
      <w:r w:rsidR="006C0B09" w:rsidRPr="00BD2C60">
        <w:rPr>
          <w:szCs w:val="20"/>
        </w:rPr>
        <w:t xml:space="preserve">αύξηση </w:t>
      </w:r>
      <w:r w:rsidR="001320E8" w:rsidRPr="00BD2C60">
        <w:rPr>
          <w:szCs w:val="20"/>
        </w:rPr>
        <w:t>κατέγραψαν οι</w:t>
      </w:r>
      <w:r w:rsidR="006C0B09" w:rsidRPr="00BD2C60">
        <w:rPr>
          <w:szCs w:val="20"/>
        </w:rPr>
        <w:t xml:space="preserve"> πωλήσεις σε</w:t>
      </w:r>
      <w:r w:rsidR="000618DD" w:rsidRPr="00BD2C60">
        <w:rPr>
          <w:szCs w:val="20"/>
        </w:rPr>
        <w:t xml:space="preserve"> επτά</w:t>
      </w:r>
      <w:r w:rsidR="00F13BA4" w:rsidRPr="00BD2C60">
        <w:rPr>
          <w:szCs w:val="20"/>
        </w:rPr>
        <w:t xml:space="preserve"> </w:t>
      </w:r>
      <w:r w:rsidR="008E7574" w:rsidRPr="00BD2C60">
        <w:rPr>
          <w:szCs w:val="20"/>
        </w:rPr>
        <w:t xml:space="preserve">από τους εννέα </w:t>
      </w:r>
      <w:r w:rsidR="00DF43D6" w:rsidRPr="00BD2C60">
        <w:rPr>
          <w:szCs w:val="20"/>
        </w:rPr>
        <w:t>ευρύτερους</w:t>
      </w:r>
      <w:r w:rsidR="008E7574" w:rsidRPr="00BD2C60">
        <w:rPr>
          <w:szCs w:val="20"/>
        </w:rPr>
        <w:t xml:space="preserve"> κλάδους του εταιρικού τομέα (εξαιρουμένου του χρηματοπιστωτικού)</w:t>
      </w:r>
      <w:r w:rsidR="00F13BA4" w:rsidRPr="00BD2C60">
        <w:rPr>
          <w:szCs w:val="20"/>
        </w:rPr>
        <w:t>.</w:t>
      </w:r>
      <w:r w:rsidR="00BC25B1" w:rsidRPr="00BD2C60">
        <w:rPr>
          <w:szCs w:val="20"/>
        </w:rPr>
        <w:t xml:space="preserve"> </w:t>
      </w:r>
    </w:p>
    <w:p w14:paraId="44F831BF" w14:textId="77777777" w:rsidR="000618DD" w:rsidRPr="00BD2C60" w:rsidRDefault="00BC25B1" w:rsidP="00E16BB2">
      <w:pPr>
        <w:suppressAutoHyphens/>
        <w:spacing w:line="360" w:lineRule="auto"/>
        <w:rPr>
          <w:szCs w:val="20"/>
        </w:rPr>
      </w:pPr>
      <w:r w:rsidRPr="00BD2C60">
        <w:rPr>
          <w:szCs w:val="20"/>
        </w:rPr>
        <w:t xml:space="preserve">Την υψηλότερη </w:t>
      </w:r>
      <w:r w:rsidR="000618DD" w:rsidRPr="00BD2C60">
        <w:rPr>
          <w:szCs w:val="20"/>
        </w:rPr>
        <w:t xml:space="preserve">(ποσοστιαία) </w:t>
      </w:r>
      <w:r w:rsidRPr="00BD2C60">
        <w:rPr>
          <w:szCs w:val="20"/>
        </w:rPr>
        <w:t xml:space="preserve">αύξηση στον κύκλο </w:t>
      </w:r>
      <w:r w:rsidR="005B6D58" w:rsidRPr="00BD2C60">
        <w:rPr>
          <w:szCs w:val="20"/>
        </w:rPr>
        <w:t>εργασιών κατέγραψε</w:t>
      </w:r>
      <w:r w:rsidR="006C0B09" w:rsidRPr="00BD2C60">
        <w:rPr>
          <w:szCs w:val="20"/>
        </w:rPr>
        <w:t xml:space="preserve"> ο κλάδος</w:t>
      </w:r>
      <w:r w:rsidR="000618DD" w:rsidRPr="00BD2C60">
        <w:rPr>
          <w:szCs w:val="20"/>
        </w:rPr>
        <w:t xml:space="preserve"> των Ορυχείων – Λατομείων (25,8%) και ακολούθησε ο κλάδος της </w:t>
      </w:r>
      <w:r w:rsidR="00875D9A" w:rsidRPr="00BD2C60">
        <w:rPr>
          <w:szCs w:val="20"/>
        </w:rPr>
        <w:t>Μεταποίησης (</w:t>
      </w:r>
      <w:r w:rsidR="000618DD" w:rsidRPr="00BD2C60">
        <w:rPr>
          <w:szCs w:val="20"/>
        </w:rPr>
        <w:t>13,2%</w:t>
      </w:r>
      <w:r w:rsidR="00875D9A" w:rsidRPr="00BD2C60">
        <w:rPr>
          <w:szCs w:val="20"/>
        </w:rPr>
        <w:t>)</w:t>
      </w:r>
      <w:r w:rsidR="000618DD" w:rsidRPr="00BD2C60">
        <w:rPr>
          <w:szCs w:val="20"/>
        </w:rPr>
        <w:t xml:space="preserve">. Με μικρή διαφορά έπονται οι κλάδοι του Εμπορίου (12,3%) και των Ξενοδοχείων – Εστιατορίων (12,0%). </w:t>
      </w:r>
    </w:p>
    <w:p w14:paraId="0099330C" w14:textId="77777777" w:rsidR="00084819" w:rsidRPr="00BD2C60" w:rsidRDefault="00084819" w:rsidP="00DF43D6">
      <w:pPr>
        <w:suppressAutoHyphens/>
        <w:spacing w:line="360" w:lineRule="auto"/>
        <w:rPr>
          <w:szCs w:val="20"/>
        </w:rPr>
      </w:pPr>
      <w:r w:rsidRPr="00BD2C60">
        <w:rPr>
          <w:szCs w:val="20"/>
        </w:rPr>
        <w:t>Μικρότερη (ποσοστιαία) αύξηση κατέγραψαν οι υπόλοιποι κλάδοι του εταιρικού τομέα</w:t>
      </w:r>
      <w:r w:rsidR="00C67EB4">
        <w:rPr>
          <w:szCs w:val="20"/>
        </w:rPr>
        <w:t xml:space="preserve">, </w:t>
      </w:r>
      <w:r w:rsidRPr="00BD2C60">
        <w:rPr>
          <w:szCs w:val="20"/>
        </w:rPr>
        <w:t xml:space="preserve">πλην </w:t>
      </w:r>
      <w:r w:rsidR="000618DD" w:rsidRPr="00BD2C60">
        <w:rPr>
          <w:szCs w:val="20"/>
        </w:rPr>
        <w:t>της Γεωργίας – Αλιείας και των Κατασκευών</w:t>
      </w:r>
      <w:r w:rsidR="00CC2F47">
        <w:rPr>
          <w:szCs w:val="20"/>
        </w:rPr>
        <w:t>,</w:t>
      </w:r>
      <w:r w:rsidR="000618DD" w:rsidRPr="00BD2C60">
        <w:rPr>
          <w:szCs w:val="20"/>
        </w:rPr>
        <w:t xml:space="preserve"> ο</w:t>
      </w:r>
      <w:r w:rsidR="00E93A97">
        <w:rPr>
          <w:szCs w:val="20"/>
        </w:rPr>
        <w:t>ι</w:t>
      </w:r>
      <w:r w:rsidR="000618DD" w:rsidRPr="00BD2C60">
        <w:rPr>
          <w:szCs w:val="20"/>
        </w:rPr>
        <w:t xml:space="preserve"> οποίο</w:t>
      </w:r>
      <w:r w:rsidR="00E93A97">
        <w:rPr>
          <w:szCs w:val="20"/>
        </w:rPr>
        <w:t>ι</w:t>
      </w:r>
      <w:r w:rsidR="000618DD" w:rsidRPr="00BD2C60">
        <w:rPr>
          <w:szCs w:val="20"/>
        </w:rPr>
        <w:t xml:space="preserve"> υποχώρησ</w:t>
      </w:r>
      <w:r w:rsidR="00E93A97">
        <w:rPr>
          <w:szCs w:val="20"/>
        </w:rPr>
        <w:t>αν</w:t>
      </w:r>
      <w:r w:rsidR="000618DD" w:rsidRPr="00BD2C60">
        <w:rPr>
          <w:szCs w:val="20"/>
        </w:rPr>
        <w:t xml:space="preserve"> </w:t>
      </w:r>
      <w:r w:rsidR="00E93A97" w:rsidRPr="00E93A97">
        <w:rPr>
          <w:szCs w:val="20"/>
        </w:rPr>
        <w:t>κατά 3,5%</w:t>
      </w:r>
      <w:r w:rsidR="00E93A97">
        <w:rPr>
          <w:szCs w:val="20"/>
        </w:rPr>
        <w:t xml:space="preserve"> και</w:t>
      </w:r>
      <w:r w:rsidR="000618DD" w:rsidRPr="00BD2C60">
        <w:rPr>
          <w:szCs w:val="20"/>
        </w:rPr>
        <w:t xml:space="preserve"> </w:t>
      </w:r>
      <w:r w:rsidR="0026465D" w:rsidRPr="00BD2C60">
        <w:rPr>
          <w:szCs w:val="20"/>
        </w:rPr>
        <w:t xml:space="preserve">1,6% </w:t>
      </w:r>
      <w:r w:rsidR="00E93A97">
        <w:rPr>
          <w:szCs w:val="20"/>
        </w:rPr>
        <w:t xml:space="preserve">αντίστοιχα, </w:t>
      </w:r>
      <w:r w:rsidRPr="00BD2C60">
        <w:rPr>
          <w:szCs w:val="20"/>
        </w:rPr>
        <w:t xml:space="preserve">την ίδια περίοδο. </w:t>
      </w:r>
    </w:p>
    <w:p w14:paraId="104811DA" w14:textId="77777777" w:rsidR="001320E8" w:rsidRPr="00293EA1" w:rsidRDefault="001320E8" w:rsidP="00E554C6">
      <w:pPr>
        <w:suppressAutoHyphens/>
        <w:spacing w:line="360" w:lineRule="auto"/>
      </w:pPr>
    </w:p>
    <w:p w14:paraId="37E19E68" w14:textId="77777777" w:rsidR="00521943" w:rsidRPr="00293EA1" w:rsidRDefault="009D4760" w:rsidP="00D15029">
      <w:pPr>
        <w:suppressAutoHyphens/>
        <w:spacing w:line="360" w:lineRule="auto"/>
        <w:jc w:val="center"/>
        <w:rPr>
          <w:lang w:val="en-US"/>
        </w:rPr>
      </w:pPr>
      <w:r w:rsidRPr="009D4760">
        <w:rPr>
          <w:noProof/>
        </w:rPr>
        <w:drawing>
          <wp:inline distT="0" distB="0" distL="0" distR="0" wp14:anchorId="38CD7DA0" wp14:editId="3E5935C5">
            <wp:extent cx="6120130" cy="24530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453005"/>
                    </a:xfrm>
                    <a:prstGeom prst="rect">
                      <a:avLst/>
                    </a:prstGeom>
                    <a:noFill/>
                    <a:ln>
                      <a:noFill/>
                    </a:ln>
                  </pic:spPr>
                </pic:pic>
              </a:graphicData>
            </a:graphic>
          </wp:inline>
        </w:drawing>
      </w:r>
    </w:p>
    <w:p w14:paraId="6586C253" w14:textId="77777777" w:rsidR="00521943" w:rsidRPr="00293EA1" w:rsidRDefault="00521943" w:rsidP="00D15029">
      <w:pPr>
        <w:suppressAutoHyphens/>
        <w:spacing w:line="360" w:lineRule="auto"/>
        <w:jc w:val="center"/>
        <w:rPr>
          <w:noProof/>
          <w:lang w:val="en-US"/>
        </w:rPr>
      </w:pPr>
    </w:p>
    <w:p w14:paraId="7DD9D7B2" w14:textId="123EE6EE" w:rsidR="004E1D2C" w:rsidRDefault="00F2363E" w:rsidP="00B96C69">
      <w:pPr>
        <w:suppressAutoHyphens/>
        <w:spacing w:line="360" w:lineRule="auto"/>
        <w:ind w:firstLine="720"/>
        <w:rPr>
          <w:szCs w:val="20"/>
        </w:rPr>
      </w:pPr>
      <w:r w:rsidRPr="00B579E2">
        <w:rPr>
          <w:szCs w:val="20"/>
        </w:rPr>
        <w:t xml:space="preserve">Όσον αφορά στα συνολικά </w:t>
      </w:r>
      <w:r w:rsidR="00FD32AC" w:rsidRPr="00B579E2">
        <w:rPr>
          <w:szCs w:val="20"/>
        </w:rPr>
        <w:t>αποτελέσματα</w:t>
      </w:r>
      <w:r w:rsidR="00CA2750" w:rsidRPr="00B579E2">
        <w:rPr>
          <w:szCs w:val="20"/>
        </w:rPr>
        <w:t xml:space="preserve"> του εταιρικού τομέα</w:t>
      </w:r>
      <w:r w:rsidR="00B579E2" w:rsidRPr="00B579E2">
        <w:rPr>
          <w:szCs w:val="20"/>
        </w:rPr>
        <w:t xml:space="preserve"> </w:t>
      </w:r>
      <w:r w:rsidR="004B7E58" w:rsidRPr="00B579E2">
        <w:rPr>
          <w:szCs w:val="20"/>
        </w:rPr>
        <w:t xml:space="preserve">(ανεξαρτήτως </w:t>
      </w:r>
      <w:r w:rsidR="00DE006C" w:rsidRPr="00B579E2">
        <w:rPr>
          <w:szCs w:val="20"/>
        </w:rPr>
        <w:t>κλάδου</w:t>
      </w:r>
      <w:r w:rsidR="00D83279" w:rsidRPr="00B579E2">
        <w:rPr>
          <w:szCs w:val="20"/>
        </w:rPr>
        <w:t xml:space="preserve"> δραστηριότητας),</w:t>
      </w:r>
      <w:r w:rsidR="00DA310F" w:rsidRPr="00B579E2">
        <w:rPr>
          <w:szCs w:val="20"/>
        </w:rPr>
        <w:t xml:space="preserve"> διαπιστώνονται τα εξής:</w:t>
      </w:r>
      <w:r w:rsidR="00D83279" w:rsidRPr="00B579E2">
        <w:rPr>
          <w:szCs w:val="20"/>
        </w:rPr>
        <w:t xml:space="preserve"> </w:t>
      </w:r>
      <w:r w:rsidR="00F928C8" w:rsidRPr="00B579E2">
        <w:rPr>
          <w:szCs w:val="20"/>
        </w:rPr>
        <w:t>Π</w:t>
      </w:r>
      <w:r w:rsidR="00D83279" w:rsidRPr="00B579E2">
        <w:rPr>
          <w:szCs w:val="20"/>
        </w:rPr>
        <w:t>αράλληλα με την αύξηση</w:t>
      </w:r>
      <w:r w:rsidR="00933B3A" w:rsidRPr="00B579E2">
        <w:rPr>
          <w:szCs w:val="20"/>
        </w:rPr>
        <w:t xml:space="preserve"> των </w:t>
      </w:r>
      <w:r w:rsidR="00D83279" w:rsidRPr="00B579E2">
        <w:rPr>
          <w:szCs w:val="20"/>
        </w:rPr>
        <w:t xml:space="preserve">συνολικών </w:t>
      </w:r>
      <w:r w:rsidR="00933B3A" w:rsidRPr="00B579E2">
        <w:rPr>
          <w:szCs w:val="20"/>
        </w:rPr>
        <w:t xml:space="preserve">πωλήσεων </w:t>
      </w:r>
      <w:r w:rsidR="00BC25B1" w:rsidRPr="00B579E2">
        <w:rPr>
          <w:szCs w:val="20"/>
        </w:rPr>
        <w:t>(</w:t>
      </w:r>
      <w:r w:rsidR="00DA310F" w:rsidRPr="00B579E2">
        <w:rPr>
          <w:szCs w:val="20"/>
        </w:rPr>
        <w:t>9,8%</w:t>
      </w:r>
      <w:r w:rsidR="00BC25B1" w:rsidRPr="00B579E2">
        <w:rPr>
          <w:szCs w:val="20"/>
        </w:rPr>
        <w:t>)</w:t>
      </w:r>
      <w:r w:rsidR="00BF486D">
        <w:rPr>
          <w:szCs w:val="20"/>
        </w:rPr>
        <w:t xml:space="preserve"> </w:t>
      </w:r>
      <w:r w:rsidR="00DA310F" w:rsidRPr="00B579E2">
        <w:rPr>
          <w:szCs w:val="20"/>
        </w:rPr>
        <w:t xml:space="preserve">διευρύνθηκαν και τα συνολικά </w:t>
      </w:r>
      <w:r w:rsidR="00DA310F" w:rsidRPr="00B579E2">
        <w:rPr>
          <w:b/>
          <w:szCs w:val="20"/>
        </w:rPr>
        <w:t>μεικτά κέρδη</w:t>
      </w:r>
      <w:r w:rsidR="00DA310F" w:rsidRPr="00B579E2">
        <w:rPr>
          <w:szCs w:val="20"/>
        </w:rPr>
        <w:t xml:space="preserve"> αλλά με χαμηλότερο ρυθμό </w:t>
      </w:r>
      <w:r w:rsidR="00DA310F" w:rsidRPr="00742729">
        <w:rPr>
          <w:b/>
          <w:bCs/>
          <w:szCs w:val="20"/>
        </w:rPr>
        <w:t>(</w:t>
      </w:r>
      <w:r w:rsidR="004E1D2C" w:rsidRPr="00742729">
        <w:rPr>
          <w:b/>
          <w:bCs/>
          <w:szCs w:val="20"/>
        </w:rPr>
        <w:t>5,2%</w:t>
      </w:r>
      <w:r w:rsidR="00DA310F" w:rsidRPr="00742729">
        <w:rPr>
          <w:b/>
          <w:bCs/>
          <w:szCs w:val="20"/>
        </w:rPr>
        <w:t>)</w:t>
      </w:r>
      <w:r w:rsidR="00F928C8" w:rsidRPr="00B579E2">
        <w:rPr>
          <w:szCs w:val="20"/>
        </w:rPr>
        <w:t>, στοιχείο ενδεικτικό της αύξησης του κόστους πωλήσεων.</w:t>
      </w:r>
      <w:r w:rsidR="004E1D2C" w:rsidRPr="00B579E2">
        <w:rPr>
          <w:szCs w:val="20"/>
        </w:rPr>
        <w:t xml:space="preserve"> Επιπλέον, οι </w:t>
      </w:r>
      <w:r w:rsidR="00DF569F" w:rsidRPr="00B579E2">
        <w:rPr>
          <w:szCs w:val="20"/>
        </w:rPr>
        <w:t xml:space="preserve">δαπάνες διοίκησης και διάθεσης αυξήθηκαν κατά </w:t>
      </w:r>
      <w:r w:rsidR="004E1D2C" w:rsidRPr="00B579E2">
        <w:rPr>
          <w:szCs w:val="20"/>
        </w:rPr>
        <w:t xml:space="preserve">7,1%, ενώ οι χρηματοοικονομικές δαπάνες περιορίστηκαν κατά 4,5% το ίδιο έτος. </w:t>
      </w:r>
      <w:r w:rsidR="00DF569F" w:rsidRPr="00B579E2">
        <w:rPr>
          <w:szCs w:val="20"/>
        </w:rPr>
        <w:t xml:space="preserve">Οι </w:t>
      </w:r>
      <w:r w:rsidR="004E1D2C" w:rsidRPr="00B579E2">
        <w:rPr>
          <w:szCs w:val="20"/>
        </w:rPr>
        <w:t xml:space="preserve">παραπάνω </w:t>
      </w:r>
      <w:r w:rsidR="00DF569F" w:rsidRPr="00B579E2">
        <w:rPr>
          <w:szCs w:val="20"/>
        </w:rPr>
        <w:t>μεταβολές</w:t>
      </w:r>
      <w:r w:rsidR="004E1D2C" w:rsidRPr="00B579E2">
        <w:rPr>
          <w:szCs w:val="20"/>
        </w:rPr>
        <w:t xml:space="preserve"> </w:t>
      </w:r>
      <w:r w:rsidR="00F928C8" w:rsidRPr="00B579E2">
        <w:rPr>
          <w:szCs w:val="20"/>
        </w:rPr>
        <w:t xml:space="preserve">συνέβαλαν </w:t>
      </w:r>
      <w:r w:rsidR="00DF569F" w:rsidRPr="00B579E2">
        <w:rPr>
          <w:szCs w:val="20"/>
        </w:rPr>
        <w:t>στην</w:t>
      </w:r>
      <w:r w:rsidR="004E1D2C" w:rsidRPr="00B579E2">
        <w:rPr>
          <w:szCs w:val="20"/>
        </w:rPr>
        <w:t xml:space="preserve"> οριακή </w:t>
      </w:r>
      <w:r w:rsidR="00DF569F" w:rsidRPr="00B579E2">
        <w:rPr>
          <w:szCs w:val="20"/>
        </w:rPr>
        <w:t>βελτίωση των συνολικών λειτουργικών αποτελεσμάτων (κατά</w:t>
      </w:r>
      <w:r w:rsidR="004E1D2C" w:rsidRPr="00B579E2">
        <w:rPr>
          <w:szCs w:val="20"/>
        </w:rPr>
        <w:t xml:space="preserve"> 1,</w:t>
      </w:r>
      <w:r w:rsidR="00BF486D">
        <w:rPr>
          <w:szCs w:val="20"/>
        </w:rPr>
        <w:t>2</w:t>
      </w:r>
      <w:r w:rsidR="004E1D2C" w:rsidRPr="00B579E2">
        <w:rPr>
          <w:szCs w:val="20"/>
        </w:rPr>
        <w:t xml:space="preserve">%). </w:t>
      </w:r>
      <w:r w:rsidR="004E1D2C" w:rsidRPr="00B75817">
        <w:rPr>
          <w:szCs w:val="20"/>
        </w:rPr>
        <w:t>Από την άλλη πλευρά</w:t>
      </w:r>
      <w:r w:rsidR="00B579E2" w:rsidRPr="00B75817">
        <w:rPr>
          <w:szCs w:val="20"/>
        </w:rPr>
        <w:t xml:space="preserve"> όμως, </w:t>
      </w:r>
      <w:r w:rsidR="004E1D2C" w:rsidRPr="00B75817">
        <w:rPr>
          <w:szCs w:val="20"/>
        </w:rPr>
        <w:t xml:space="preserve">η ανατροπή του μη λειτουργικού αποτελέσματος το οποίο </w:t>
      </w:r>
      <w:r w:rsidR="00B579E2" w:rsidRPr="00B75817">
        <w:rPr>
          <w:szCs w:val="20"/>
        </w:rPr>
        <w:t>κατέστη θετικό το 2018</w:t>
      </w:r>
      <w:r w:rsidR="00B579E2" w:rsidRPr="00B75817">
        <w:rPr>
          <w:rStyle w:val="FootnoteReference"/>
          <w:szCs w:val="20"/>
        </w:rPr>
        <w:footnoteReference w:id="3"/>
      </w:r>
      <w:r w:rsidR="00B579E2" w:rsidRPr="00B75817">
        <w:rPr>
          <w:szCs w:val="20"/>
        </w:rPr>
        <w:t xml:space="preserve"> </w:t>
      </w:r>
      <w:r w:rsidR="004E1D2C" w:rsidRPr="00B75817">
        <w:rPr>
          <w:szCs w:val="20"/>
        </w:rPr>
        <w:t>από αρνητικό το 2017</w:t>
      </w:r>
      <w:r w:rsidR="00B579E2" w:rsidRPr="00B75817">
        <w:rPr>
          <w:szCs w:val="20"/>
        </w:rPr>
        <w:t xml:space="preserve">, </w:t>
      </w:r>
      <w:r w:rsidR="004E1D2C" w:rsidRPr="00B75817">
        <w:rPr>
          <w:szCs w:val="20"/>
        </w:rPr>
        <w:t xml:space="preserve">οδήγησε στη σημαντική αύξηση των </w:t>
      </w:r>
      <w:r w:rsidR="004E1D2C" w:rsidRPr="00E25CFE">
        <w:rPr>
          <w:b/>
          <w:bCs/>
          <w:szCs w:val="20"/>
        </w:rPr>
        <w:t>καθαρών (προ φόρου) κερδών</w:t>
      </w:r>
      <w:r w:rsidR="004E1D2C" w:rsidRPr="00B75817">
        <w:rPr>
          <w:szCs w:val="20"/>
        </w:rPr>
        <w:t xml:space="preserve"> κατά </w:t>
      </w:r>
      <w:r w:rsidR="004E1D2C" w:rsidRPr="00E25CFE">
        <w:rPr>
          <w:b/>
          <w:bCs/>
          <w:szCs w:val="20"/>
        </w:rPr>
        <w:t>22,7%</w:t>
      </w:r>
      <w:r w:rsidR="004E1D2C" w:rsidRPr="00E25CFE">
        <w:rPr>
          <w:szCs w:val="20"/>
        </w:rPr>
        <w:t>.</w:t>
      </w:r>
      <w:r w:rsidR="004E1D2C" w:rsidRPr="00B75817">
        <w:rPr>
          <w:szCs w:val="20"/>
        </w:rPr>
        <w:t xml:space="preserve"> </w:t>
      </w:r>
    </w:p>
    <w:p w14:paraId="122DE8DE" w14:textId="4DDA1DA9" w:rsidR="00603ADD" w:rsidRDefault="00603ADD" w:rsidP="008E1DA6">
      <w:pPr>
        <w:suppressAutoHyphens/>
        <w:spacing w:line="360" w:lineRule="auto"/>
        <w:rPr>
          <w:szCs w:val="20"/>
        </w:rPr>
      </w:pPr>
    </w:p>
    <w:p w14:paraId="2934B6EF" w14:textId="77777777" w:rsidR="00521943" w:rsidRPr="005C5DD9" w:rsidRDefault="00FE2243" w:rsidP="00B96C69">
      <w:pPr>
        <w:suppressAutoHyphens/>
        <w:spacing w:line="360" w:lineRule="auto"/>
        <w:ind w:firstLine="720"/>
        <w:rPr>
          <w:szCs w:val="20"/>
        </w:rPr>
      </w:pPr>
      <w:r w:rsidRPr="005C5DD9">
        <w:rPr>
          <w:szCs w:val="20"/>
        </w:rPr>
        <w:t>Ε</w:t>
      </w:r>
      <w:r w:rsidR="00FE1761" w:rsidRPr="005C5DD9">
        <w:rPr>
          <w:szCs w:val="20"/>
        </w:rPr>
        <w:t xml:space="preserve">πισημαίνεται ότι </w:t>
      </w:r>
      <w:r w:rsidR="00FE1761" w:rsidRPr="00C50B65">
        <w:rPr>
          <w:b/>
          <w:bCs/>
          <w:szCs w:val="20"/>
        </w:rPr>
        <w:t>η πλειοψηφία</w:t>
      </w:r>
      <w:r w:rsidR="00FE1761" w:rsidRPr="005C5DD9">
        <w:rPr>
          <w:szCs w:val="20"/>
        </w:rPr>
        <w:t xml:space="preserve"> των εταιρειών</w:t>
      </w:r>
      <w:r w:rsidRPr="005C5DD9">
        <w:rPr>
          <w:szCs w:val="20"/>
        </w:rPr>
        <w:t xml:space="preserve"> του δείγματος</w:t>
      </w:r>
      <w:r w:rsidR="00D33D44" w:rsidRPr="005C5DD9">
        <w:rPr>
          <w:szCs w:val="20"/>
        </w:rPr>
        <w:t xml:space="preserve"> </w:t>
      </w:r>
      <w:r w:rsidR="005C5DD9" w:rsidRPr="005C5DD9">
        <w:rPr>
          <w:szCs w:val="20"/>
        </w:rPr>
        <w:t xml:space="preserve">(68,8%) </w:t>
      </w:r>
      <w:r w:rsidR="009A09FA" w:rsidRPr="005C5DD9">
        <w:rPr>
          <w:szCs w:val="20"/>
        </w:rPr>
        <w:t xml:space="preserve">ήταν </w:t>
      </w:r>
      <w:r w:rsidR="009A09FA" w:rsidRPr="00C50B65">
        <w:rPr>
          <w:b/>
          <w:bCs/>
          <w:szCs w:val="20"/>
        </w:rPr>
        <w:t>κερδοφόρες</w:t>
      </w:r>
      <w:r w:rsidR="009A09FA" w:rsidRPr="005C5DD9">
        <w:rPr>
          <w:szCs w:val="20"/>
        </w:rPr>
        <w:t xml:space="preserve"> το 201</w:t>
      </w:r>
      <w:r w:rsidR="00D33D44" w:rsidRPr="005C5DD9">
        <w:rPr>
          <w:szCs w:val="20"/>
        </w:rPr>
        <w:t>8</w:t>
      </w:r>
      <w:r w:rsidR="009A09FA" w:rsidRPr="005C5DD9">
        <w:rPr>
          <w:szCs w:val="20"/>
        </w:rPr>
        <w:t>,</w:t>
      </w:r>
      <w:r w:rsidR="00FE1761" w:rsidRPr="005C5DD9">
        <w:rPr>
          <w:szCs w:val="20"/>
        </w:rPr>
        <w:t xml:space="preserve"> </w:t>
      </w:r>
      <w:r w:rsidRPr="005C5DD9">
        <w:rPr>
          <w:szCs w:val="20"/>
        </w:rPr>
        <w:t>τα δε κέρ</w:t>
      </w:r>
      <w:r w:rsidR="00E002C9" w:rsidRPr="005C5DD9">
        <w:rPr>
          <w:szCs w:val="20"/>
        </w:rPr>
        <w:t>δ</w:t>
      </w:r>
      <w:r w:rsidRPr="005C5DD9">
        <w:rPr>
          <w:szCs w:val="20"/>
        </w:rPr>
        <w:t xml:space="preserve">η τους υπερίσχυσαν και καθόρισαν και </w:t>
      </w:r>
      <w:r w:rsidR="00FE1761" w:rsidRPr="005C5DD9">
        <w:rPr>
          <w:szCs w:val="20"/>
        </w:rPr>
        <w:t>το συνολικό αποτέλεσμα</w:t>
      </w:r>
      <w:r w:rsidR="005C5DD9" w:rsidRPr="005C5DD9">
        <w:rPr>
          <w:szCs w:val="20"/>
        </w:rPr>
        <w:t>.</w:t>
      </w:r>
    </w:p>
    <w:p w14:paraId="697DA892" w14:textId="77777777" w:rsidR="00385068" w:rsidRDefault="00385068" w:rsidP="008E1DA6">
      <w:pPr>
        <w:suppressAutoHyphens/>
        <w:spacing w:line="360" w:lineRule="auto"/>
        <w:rPr>
          <w:szCs w:val="20"/>
        </w:rPr>
      </w:pPr>
    </w:p>
    <w:p w14:paraId="424FC4C2" w14:textId="5F76BEAC" w:rsidR="008D488A" w:rsidRPr="00BA0E68" w:rsidRDefault="007E7F8D" w:rsidP="00B96C69">
      <w:pPr>
        <w:suppressAutoHyphens/>
        <w:spacing w:line="360" w:lineRule="auto"/>
        <w:ind w:firstLine="720"/>
        <w:rPr>
          <w:szCs w:val="20"/>
        </w:rPr>
      </w:pPr>
      <w:r w:rsidRPr="00BA0E68">
        <w:rPr>
          <w:szCs w:val="20"/>
        </w:rPr>
        <w:t xml:space="preserve">Όσον αφορά τους επί μέρους κλάδους </w:t>
      </w:r>
      <w:r w:rsidR="008E7574" w:rsidRPr="00BA0E68">
        <w:rPr>
          <w:szCs w:val="20"/>
        </w:rPr>
        <w:t>του μη χρηματοπιστωτικού εταιρικού τομέα</w:t>
      </w:r>
      <w:r w:rsidRPr="00BA0E68">
        <w:rPr>
          <w:szCs w:val="20"/>
        </w:rPr>
        <w:t xml:space="preserve">, </w:t>
      </w:r>
      <w:r w:rsidR="00D33D44" w:rsidRPr="00BA0E68">
        <w:rPr>
          <w:szCs w:val="20"/>
        </w:rPr>
        <w:t xml:space="preserve">τρεις </w:t>
      </w:r>
      <w:r w:rsidR="00237130" w:rsidRPr="00BA0E68">
        <w:rPr>
          <w:szCs w:val="20"/>
        </w:rPr>
        <w:t>ήταν ζημιογόν</w:t>
      </w:r>
      <w:r w:rsidR="00D33D44" w:rsidRPr="00BA0E68">
        <w:rPr>
          <w:szCs w:val="20"/>
        </w:rPr>
        <w:t>οι</w:t>
      </w:r>
      <w:r w:rsidR="00F928C8" w:rsidRPr="00BA0E68">
        <w:rPr>
          <w:szCs w:val="20"/>
        </w:rPr>
        <w:t xml:space="preserve"> το 201</w:t>
      </w:r>
      <w:r w:rsidR="00D33D44" w:rsidRPr="00BA0E68">
        <w:rPr>
          <w:szCs w:val="20"/>
        </w:rPr>
        <w:t>8</w:t>
      </w:r>
      <w:r w:rsidR="00F928C8" w:rsidRPr="00BA0E68">
        <w:rPr>
          <w:szCs w:val="20"/>
        </w:rPr>
        <w:t>,</w:t>
      </w:r>
      <w:r w:rsidR="00237130" w:rsidRPr="00BA0E68">
        <w:rPr>
          <w:szCs w:val="20"/>
        </w:rPr>
        <w:t xml:space="preserve"> ενώ οι υπόλοιποι ήταν</w:t>
      </w:r>
      <w:r w:rsidR="00453A86" w:rsidRPr="00BA0E68">
        <w:rPr>
          <w:szCs w:val="20"/>
        </w:rPr>
        <w:t xml:space="preserve"> </w:t>
      </w:r>
      <w:r w:rsidR="00453A86" w:rsidRPr="00BF486D">
        <w:rPr>
          <w:bCs/>
          <w:szCs w:val="20"/>
        </w:rPr>
        <w:t>κερδοφόροι</w:t>
      </w:r>
      <w:r w:rsidR="00F928C8" w:rsidRPr="00BF486D">
        <w:rPr>
          <w:bCs/>
          <w:szCs w:val="20"/>
        </w:rPr>
        <w:t>.</w:t>
      </w:r>
      <w:r w:rsidR="00F928C8" w:rsidRPr="00BA0E68">
        <w:rPr>
          <w:b/>
          <w:szCs w:val="20"/>
        </w:rPr>
        <w:t xml:space="preserve"> </w:t>
      </w:r>
      <w:r w:rsidRPr="00BA0E68">
        <w:rPr>
          <w:szCs w:val="20"/>
        </w:rPr>
        <w:t xml:space="preserve">Τη μεγαλύτερη </w:t>
      </w:r>
      <w:r w:rsidRPr="00B75817">
        <w:rPr>
          <w:szCs w:val="20"/>
        </w:rPr>
        <w:t>συμμετοχή στα κέρδη</w:t>
      </w:r>
      <w:r w:rsidRPr="00BA0E68">
        <w:rPr>
          <w:szCs w:val="20"/>
        </w:rPr>
        <w:t xml:space="preserve"> είχαν </w:t>
      </w:r>
      <w:r w:rsidR="00F928C8" w:rsidRPr="00BA0E68">
        <w:rPr>
          <w:szCs w:val="20"/>
        </w:rPr>
        <w:t>οι</w:t>
      </w:r>
      <w:r w:rsidRPr="00BA0E68">
        <w:rPr>
          <w:szCs w:val="20"/>
        </w:rPr>
        <w:t xml:space="preserve"> </w:t>
      </w:r>
      <w:r w:rsidR="00666DE3" w:rsidRPr="00BA0E68">
        <w:rPr>
          <w:szCs w:val="20"/>
        </w:rPr>
        <w:t>κλάδ</w:t>
      </w:r>
      <w:r w:rsidR="00F928C8" w:rsidRPr="00BA0E68">
        <w:rPr>
          <w:szCs w:val="20"/>
        </w:rPr>
        <w:t>οι</w:t>
      </w:r>
      <w:r w:rsidR="008E7574" w:rsidRPr="00BA0E68">
        <w:rPr>
          <w:szCs w:val="20"/>
        </w:rPr>
        <w:t xml:space="preserve"> </w:t>
      </w:r>
      <w:r w:rsidRPr="00BA0E68">
        <w:rPr>
          <w:szCs w:val="20"/>
        </w:rPr>
        <w:t>της Μεταποίησης, του Εμπορίου</w:t>
      </w:r>
      <w:r w:rsidR="00851D1E" w:rsidRPr="00BA0E68">
        <w:rPr>
          <w:szCs w:val="20"/>
        </w:rPr>
        <w:t xml:space="preserve"> και</w:t>
      </w:r>
      <w:r w:rsidR="003A4E9E" w:rsidRPr="00BA0E68">
        <w:rPr>
          <w:szCs w:val="20"/>
        </w:rPr>
        <w:t xml:space="preserve"> </w:t>
      </w:r>
      <w:r w:rsidR="00D33D44" w:rsidRPr="00BA0E68">
        <w:rPr>
          <w:szCs w:val="20"/>
        </w:rPr>
        <w:t xml:space="preserve">των Μεταφορών – Επικοινωνιών. </w:t>
      </w:r>
    </w:p>
    <w:p w14:paraId="093C2F01" w14:textId="77777777" w:rsidR="0086254E" w:rsidRPr="0086254E" w:rsidRDefault="0086254E" w:rsidP="008E1DA6">
      <w:pPr>
        <w:suppressAutoHyphens/>
        <w:spacing w:line="360" w:lineRule="auto"/>
        <w:rPr>
          <w:szCs w:val="20"/>
          <w:highlight w:val="cyan"/>
        </w:rPr>
      </w:pPr>
    </w:p>
    <w:p w14:paraId="64E3FBBF" w14:textId="77777777" w:rsidR="0086254E" w:rsidRPr="00E16A43" w:rsidRDefault="0086254E" w:rsidP="00B96C69">
      <w:pPr>
        <w:suppressAutoHyphens/>
        <w:spacing w:line="360" w:lineRule="auto"/>
        <w:ind w:firstLine="720"/>
        <w:rPr>
          <w:szCs w:val="20"/>
        </w:rPr>
      </w:pPr>
      <w:r w:rsidRPr="00E16A43">
        <w:rPr>
          <w:szCs w:val="20"/>
        </w:rPr>
        <w:t xml:space="preserve">Ζημιογόνοι το 2018 ήταν </w:t>
      </w:r>
      <w:r w:rsidR="00E44029" w:rsidRPr="00E16A43">
        <w:rPr>
          <w:szCs w:val="20"/>
        </w:rPr>
        <w:t>ο</w:t>
      </w:r>
      <w:r w:rsidR="00E16A43" w:rsidRPr="00E16A43">
        <w:rPr>
          <w:szCs w:val="20"/>
        </w:rPr>
        <w:t>ι</w:t>
      </w:r>
      <w:r w:rsidRPr="00E16A43">
        <w:rPr>
          <w:szCs w:val="20"/>
        </w:rPr>
        <w:t xml:space="preserve"> κλάδο</w:t>
      </w:r>
      <w:r w:rsidR="00E16A43" w:rsidRPr="00E16A43">
        <w:rPr>
          <w:szCs w:val="20"/>
        </w:rPr>
        <w:t>ι</w:t>
      </w:r>
      <w:r w:rsidRPr="00E16A43">
        <w:rPr>
          <w:szCs w:val="20"/>
        </w:rPr>
        <w:t xml:space="preserve"> των Κατασκευών</w:t>
      </w:r>
      <w:r w:rsidR="00E16A43" w:rsidRPr="00E16A43">
        <w:rPr>
          <w:szCs w:val="20"/>
        </w:rPr>
        <w:t xml:space="preserve">, </w:t>
      </w:r>
      <w:r w:rsidR="00B17837" w:rsidRPr="00E16A43">
        <w:rPr>
          <w:szCs w:val="20"/>
        </w:rPr>
        <w:t xml:space="preserve">της Γεωργίας – Αλιείας και των Ορυχείων – Λατομείων. Οι </w:t>
      </w:r>
      <w:r w:rsidR="00E16A43" w:rsidRPr="00E16A43">
        <w:rPr>
          <w:szCs w:val="20"/>
        </w:rPr>
        <w:t xml:space="preserve">δύο </w:t>
      </w:r>
      <w:r w:rsidR="00B17837" w:rsidRPr="00E16A43">
        <w:rPr>
          <w:szCs w:val="20"/>
        </w:rPr>
        <w:t>τελευταίοι ήταν κερδοφόροι το 2017, ενώ των Κατασκευών ήταν ζημιογόνος και το 2017. Ο κλάδος των Μεταφορών – Επικοινωνιών από ζημιογόνος το 2017</w:t>
      </w:r>
      <w:r w:rsidR="00E16A43" w:rsidRPr="00E16A43">
        <w:rPr>
          <w:szCs w:val="20"/>
        </w:rPr>
        <w:t xml:space="preserve"> </w:t>
      </w:r>
      <w:r w:rsidR="00B17837" w:rsidRPr="00E16A43">
        <w:rPr>
          <w:szCs w:val="20"/>
        </w:rPr>
        <w:t xml:space="preserve">κατέστη κερδοφόρος το 2018. </w:t>
      </w:r>
    </w:p>
    <w:p w14:paraId="193DCC0B" w14:textId="77777777" w:rsidR="00747EB2" w:rsidRPr="00293EA1" w:rsidRDefault="00747EB2" w:rsidP="008E1DA6">
      <w:pPr>
        <w:suppressAutoHyphens/>
        <w:spacing w:line="360" w:lineRule="auto"/>
        <w:rPr>
          <w:szCs w:val="20"/>
        </w:rPr>
      </w:pPr>
    </w:p>
    <w:tbl>
      <w:tblPr>
        <w:tblW w:w="5076" w:type="pct"/>
        <w:tblLook w:val="0000" w:firstRow="0" w:lastRow="0" w:firstColumn="0" w:lastColumn="0" w:noHBand="0" w:noVBand="0"/>
      </w:tblPr>
      <w:tblGrid>
        <w:gridCol w:w="1791"/>
        <w:gridCol w:w="1013"/>
        <w:gridCol w:w="1025"/>
        <w:gridCol w:w="733"/>
        <w:gridCol w:w="957"/>
        <w:gridCol w:w="958"/>
        <w:gridCol w:w="749"/>
        <w:gridCol w:w="851"/>
        <w:gridCol w:w="874"/>
        <w:gridCol w:w="827"/>
      </w:tblGrid>
      <w:tr w:rsidR="00293EA1" w:rsidRPr="00293EA1" w14:paraId="39302C27" w14:textId="77777777" w:rsidTr="0029293C">
        <w:trPr>
          <w:trHeight w:val="250"/>
        </w:trPr>
        <w:tc>
          <w:tcPr>
            <w:tcW w:w="5000" w:type="pct"/>
            <w:gridSpan w:val="10"/>
            <w:tcBorders>
              <w:top w:val="single" w:sz="2" w:space="0" w:color="000000"/>
              <w:left w:val="single" w:sz="2" w:space="0" w:color="000000"/>
              <w:bottom w:val="single" w:sz="2" w:space="0" w:color="000000"/>
              <w:right w:val="single" w:sz="2" w:space="0" w:color="000000"/>
            </w:tcBorders>
            <w:shd w:val="solid" w:color="969696" w:fill="auto"/>
          </w:tcPr>
          <w:p w14:paraId="72C98CEC" w14:textId="77777777" w:rsidR="0067025A" w:rsidRPr="0029293C" w:rsidRDefault="0067025A" w:rsidP="0067025A">
            <w:pPr>
              <w:autoSpaceDE w:val="0"/>
              <w:autoSpaceDN w:val="0"/>
              <w:adjustRightInd w:val="0"/>
              <w:jc w:val="center"/>
              <w:rPr>
                <w:rFonts w:cs="Verdana"/>
                <w:b/>
                <w:bCs/>
                <w:sz w:val="15"/>
                <w:szCs w:val="15"/>
              </w:rPr>
            </w:pPr>
            <w:r w:rsidRPr="00293EA1">
              <w:rPr>
                <w:rFonts w:cs="Verdana"/>
                <w:b/>
                <w:bCs/>
                <w:sz w:val="15"/>
                <w:szCs w:val="15"/>
              </w:rPr>
              <w:t>Εταιρικός τομέας: Βασικά Οικονομικά Μεγέθη ανά Τομέα 201</w:t>
            </w:r>
            <w:r w:rsidR="0029293C" w:rsidRPr="0029293C">
              <w:rPr>
                <w:rFonts w:cs="Verdana"/>
                <w:b/>
                <w:bCs/>
                <w:sz w:val="15"/>
                <w:szCs w:val="15"/>
              </w:rPr>
              <w:t>8</w:t>
            </w:r>
            <w:r w:rsidRPr="00293EA1">
              <w:rPr>
                <w:rFonts w:cs="Verdana"/>
                <w:b/>
                <w:bCs/>
                <w:sz w:val="15"/>
                <w:szCs w:val="15"/>
              </w:rPr>
              <w:t>-201</w:t>
            </w:r>
            <w:r w:rsidR="0029293C" w:rsidRPr="0029293C">
              <w:rPr>
                <w:rFonts w:cs="Verdana"/>
                <w:b/>
                <w:bCs/>
                <w:sz w:val="15"/>
                <w:szCs w:val="15"/>
              </w:rPr>
              <w:t>7</w:t>
            </w:r>
          </w:p>
        </w:tc>
      </w:tr>
      <w:tr w:rsidR="00293EA1" w:rsidRPr="00293EA1" w14:paraId="7EEEFE4C" w14:textId="77777777" w:rsidTr="0029293C">
        <w:trPr>
          <w:trHeight w:val="250"/>
        </w:trPr>
        <w:tc>
          <w:tcPr>
            <w:tcW w:w="5000" w:type="pct"/>
            <w:gridSpan w:val="10"/>
            <w:tcBorders>
              <w:top w:val="single" w:sz="2" w:space="0" w:color="000000"/>
              <w:left w:val="single" w:sz="2" w:space="0" w:color="000000"/>
              <w:bottom w:val="single" w:sz="2" w:space="0" w:color="000000"/>
              <w:right w:val="single" w:sz="2" w:space="0" w:color="000000"/>
            </w:tcBorders>
            <w:shd w:val="solid" w:color="969696" w:fill="auto"/>
          </w:tcPr>
          <w:p w14:paraId="081A95BC" w14:textId="77777777" w:rsidR="0067025A" w:rsidRPr="00293EA1" w:rsidRDefault="0067025A" w:rsidP="0067025A">
            <w:pPr>
              <w:autoSpaceDE w:val="0"/>
              <w:autoSpaceDN w:val="0"/>
              <w:adjustRightInd w:val="0"/>
              <w:jc w:val="center"/>
              <w:rPr>
                <w:rFonts w:cs="Verdana"/>
                <w:i/>
                <w:iCs/>
                <w:sz w:val="15"/>
                <w:szCs w:val="15"/>
              </w:rPr>
            </w:pPr>
            <w:r w:rsidRPr="00293EA1">
              <w:rPr>
                <w:rFonts w:cs="Verdana"/>
                <w:i/>
                <w:iCs/>
                <w:sz w:val="15"/>
                <w:szCs w:val="15"/>
              </w:rPr>
              <w:t>(€ εκατ.)</w:t>
            </w:r>
          </w:p>
        </w:tc>
      </w:tr>
      <w:tr w:rsidR="0029293C" w:rsidRPr="00293EA1" w14:paraId="00F271C7"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319EA1DF" w14:textId="77777777" w:rsidR="0067025A" w:rsidRPr="00293EA1" w:rsidRDefault="00727C45" w:rsidP="00727C45">
            <w:pPr>
              <w:autoSpaceDE w:val="0"/>
              <w:autoSpaceDN w:val="0"/>
              <w:adjustRightInd w:val="0"/>
              <w:jc w:val="center"/>
              <w:rPr>
                <w:rFonts w:cs="Verdana"/>
                <w:b/>
                <w:bCs/>
                <w:sz w:val="15"/>
                <w:szCs w:val="15"/>
              </w:rPr>
            </w:pPr>
            <w:r w:rsidRPr="00293EA1">
              <w:rPr>
                <w:rFonts w:cs="Verdana"/>
                <w:b/>
                <w:bCs/>
                <w:sz w:val="15"/>
                <w:szCs w:val="15"/>
              </w:rPr>
              <w:t>Κλάδος</w:t>
            </w:r>
          </w:p>
        </w:tc>
        <w:tc>
          <w:tcPr>
            <w:tcW w:w="1042" w:type="pct"/>
            <w:gridSpan w:val="2"/>
            <w:tcBorders>
              <w:top w:val="single" w:sz="2" w:space="0" w:color="000000"/>
              <w:left w:val="single" w:sz="2" w:space="0" w:color="000000"/>
              <w:bottom w:val="single" w:sz="2" w:space="0" w:color="000000"/>
              <w:right w:val="nil"/>
            </w:tcBorders>
            <w:shd w:val="solid" w:color="969696" w:fill="auto"/>
            <w:vAlign w:val="center"/>
          </w:tcPr>
          <w:p w14:paraId="2DB4B005" w14:textId="77777777" w:rsidR="0067025A" w:rsidRPr="00293EA1" w:rsidRDefault="0067025A" w:rsidP="00843377">
            <w:pPr>
              <w:autoSpaceDE w:val="0"/>
              <w:autoSpaceDN w:val="0"/>
              <w:adjustRightInd w:val="0"/>
              <w:jc w:val="center"/>
              <w:rPr>
                <w:rFonts w:cs="Verdana"/>
                <w:b/>
                <w:bCs/>
                <w:sz w:val="15"/>
                <w:szCs w:val="15"/>
              </w:rPr>
            </w:pPr>
            <w:r w:rsidRPr="00293EA1">
              <w:rPr>
                <w:rFonts w:cs="Verdana"/>
                <w:b/>
                <w:bCs/>
                <w:sz w:val="15"/>
                <w:szCs w:val="15"/>
              </w:rPr>
              <w:t>Ενεργητικό</w:t>
            </w:r>
          </w:p>
        </w:tc>
        <w:tc>
          <w:tcPr>
            <w:tcW w:w="375" w:type="pct"/>
            <w:tcBorders>
              <w:top w:val="single" w:sz="2" w:space="0" w:color="000000"/>
              <w:left w:val="nil"/>
              <w:bottom w:val="single" w:sz="2" w:space="0" w:color="000000"/>
              <w:right w:val="single" w:sz="2" w:space="0" w:color="000000"/>
            </w:tcBorders>
            <w:shd w:val="solid" w:color="969696" w:fill="auto"/>
            <w:vAlign w:val="center"/>
          </w:tcPr>
          <w:p w14:paraId="07D178A7" w14:textId="77777777" w:rsidR="0067025A" w:rsidRPr="00293EA1" w:rsidRDefault="0067025A" w:rsidP="0067025A">
            <w:pPr>
              <w:autoSpaceDE w:val="0"/>
              <w:autoSpaceDN w:val="0"/>
              <w:adjustRightInd w:val="0"/>
              <w:jc w:val="center"/>
              <w:rPr>
                <w:rFonts w:cs="Verdana"/>
                <w:b/>
                <w:bCs/>
                <w:sz w:val="15"/>
                <w:szCs w:val="15"/>
              </w:rPr>
            </w:pPr>
          </w:p>
        </w:tc>
        <w:tc>
          <w:tcPr>
            <w:tcW w:w="979" w:type="pct"/>
            <w:gridSpan w:val="2"/>
            <w:tcBorders>
              <w:top w:val="single" w:sz="2" w:space="0" w:color="000000"/>
              <w:left w:val="single" w:sz="2" w:space="0" w:color="000000"/>
              <w:bottom w:val="single" w:sz="2" w:space="0" w:color="000000"/>
              <w:right w:val="nil"/>
            </w:tcBorders>
            <w:shd w:val="solid" w:color="969696" w:fill="auto"/>
            <w:vAlign w:val="center"/>
          </w:tcPr>
          <w:p w14:paraId="0A0E4110" w14:textId="77777777" w:rsidR="0067025A" w:rsidRPr="00293EA1" w:rsidRDefault="0067025A" w:rsidP="0067025A">
            <w:pPr>
              <w:autoSpaceDE w:val="0"/>
              <w:autoSpaceDN w:val="0"/>
              <w:adjustRightInd w:val="0"/>
              <w:jc w:val="center"/>
              <w:rPr>
                <w:rFonts w:cs="Verdana"/>
                <w:b/>
                <w:bCs/>
                <w:sz w:val="15"/>
                <w:szCs w:val="15"/>
              </w:rPr>
            </w:pPr>
            <w:r w:rsidRPr="00293EA1">
              <w:rPr>
                <w:rFonts w:cs="Verdana"/>
                <w:b/>
                <w:bCs/>
                <w:sz w:val="15"/>
                <w:szCs w:val="15"/>
              </w:rPr>
              <w:t>Κύκλος εργασιών</w:t>
            </w:r>
          </w:p>
        </w:tc>
        <w:tc>
          <w:tcPr>
            <w:tcW w:w="383" w:type="pct"/>
            <w:tcBorders>
              <w:top w:val="single" w:sz="2" w:space="0" w:color="000000"/>
              <w:left w:val="nil"/>
              <w:bottom w:val="single" w:sz="2" w:space="0" w:color="000000"/>
              <w:right w:val="single" w:sz="2" w:space="0" w:color="000000"/>
            </w:tcBorders>
            <w:shd w:val="solid" w:color="969696" w:fill="auto"/>
            <w:vAlign w:val="center"/>
          </w:tcPr>
          <w:p w14:paraId="5FE2C499" w14:textId="77777777" w:rsidR="0067025A" w:rsidRPr="00293EA1" w:rsidRDefault="0067025A" w:rsidP="0067025A">
            <w:pPr>
              <w:autoSpaceDE w:val="0"/>
              <w:autoSpaceDN w:val="0"/>
              <w:adjustRightInd w:val="0"/>
              <w:jc w:val="center"/>
              <w:rPr>
                <w:rFonts w:cs="Verdana"/>
                <w:b/>
                <w:bCs/>
                <w:sz w:val="15"/>
                <w:szCs w:val="15"/>
              </w:rPr>
            </w:pPr>
          </w:p>
        </w:tc>
        <w:tc>
          <w:tcPr>
            <w:tcW w:w="882" w:type="pct"/>
            <w:gridSpan w:val="2"/>
            <w:tcBorders>
              <w:top w:val="single" w:sz="2" w:space="0" w:color="000000"/>
              <w:left w:val="single" w:sz="2" w:space="0" w:color="000000"/>
              <w:bottom w:val="single" w:sz="2" w:space="0" w:color="000000"/>
              <w:right w:val="nil"/>
            </w:tcBorders>
            <w:shd w:val="solid" w:color="969696" w:fill="auto"/>
            <w:vAlign w:val="center"/>
          </w:tcPr>
          <w:p w14:paraId="199D0DDB" w14:textId="77777777" w:rsidR="0067025A" w:rsidRPr="00293EA1" w:rsidRDefault="0067025A" w:rsidP="002F3249">
            <w:pPr>
              <w:autoSpaceDE w:val="0"/>
              <w:autoSpaceDN w:val="0"/>
              <w:adjustRightInd w:val="0"/>
              <w:jc w:val="center"/>
              <w:rPr>
                <w:rFonts w:cs="Verdana"/>
                <w:b/>
                <w:bCs/>
                <w:sz w:val="15"/>
                <w:szCs w:val="15"/>
              </w:rPr>
            </w:pPr>
            <w:r w:rsidRPr="00293EA1">
              <w:rPr>
                <w:rFonts w:cs="Verdana"/>
                <w:b/>
                <w:bCs/>
                <w:sz w:val="15"/>
                <w:szCs w:val="15"/>
              </w:rPr>
              <w:t>Κέρδη προ φόρου</w:t>
            </w:r>
          </w:p>
        </w:tc>
        <w:tc>
          <w:tcPr>
            <w:tcW w:w="422" w:type="pct"/>
            <w:tcBorders>
              <w:top w:val="single" w:sz="2" w:space="0" w:color="000000"/>
              <w:left w:val="nil"/>
              <w:bottom w:val="single" w:sz="2" w:space="0" w:color="000000"/>
              <w:right w:val="single" w:sz="2" w:space="0" w:color="000000"/>
            </w:tcBorders>
            <w:shd w:val="solid" w:color="969696" w:fill="auto"/>
          </w:tcPr>
          <w:p w14:paraId="39295018" w14:textId="77777777" w:rsidR="0067025A" w:rsidRPr="00293EA1" w:rsidRDefault="0067025A" w:rsidP="0067025A">
            <w:pPr>
              <w:autoSpaceDE w:val="0"/>
              <w:autoSpaceDN w:val="0"/>
              <w:adjustRightInd w:val="0"/>
              <w:jc w:val="center"/>
              <w:rPr>
                <w:rFonts w:cs="Verdana"/>
                <w:b/>
                <w:bCs/>
                <w:sz w:val="15"/>
                <w:szCs w:val="15"/>
              </w:rPr>
            </w:pPr>
          </w:p>
        </w:tc>
      </w:tr>
      <w:tr w:rsidR="0029293C" w:rsidRPr="00293EA1" w14:paraId="39DD5A9D"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969696" w:fill="auto"/>
          </w:tcPr>
          <w:p w14:paraId="70039696" w14:textId="77777777" w:rsidR="0029293C" w:rsidRPr="00293EA1" w:rsidRDefault="0029293C" w:rsidP="0029293C">
            <w:pPr>
              <w:autoSpaceDE w:val="0"/>
              <w:autoSpaceDN w:val="0"/>
              <w:adjustRightInd w:val="0"/>
              <w:jc w:val="right"/>
              <w:rPr>
                <w:rFonts w:cs="Verdana"/>
                <w:b/>
                <w:bCs/>
                <w:sz w:val="15"/>
                <w:szCs w:val="15"/>
              </w:rPr>
            </w:pPr>
          </w:p>
        </w:tc>
        <w:tc>
          <w:tcPr>
            <w:tcW w:w="518"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54B4FAA5" w14:textId="77777777" w:rsidR="0029293C" w:rsidRPr="0042309F" w:rsidRDefault="0029293C" w:rsidP="0029293C">
            <w:pPr>
              <w:autoSpaceDE w:val="0"/>
              <w:autoSpaceDN w:val="0"/>
              <w:adjustRightInd w:val="0"/>
              <w:jc w:val="center"/>
              <w:rPr>
                <w:rFonts w:cs="Verdana"/>
                <w:b/>
                <w:bCs/>
                <w:color w:val="000000"/>
                <w:sz w:val="16"/>
                <w:szCs w:val="20"/>
                <w:lang w:val="en-US"/>
              </w:rPr>
            </w:pPr>
            <w:r>
              <w:rPr>
                <w:rFonts w:cs="Verdana"/>
                <w:b/>
                <w:bCs/>
                <w:color w:val="000000"/>
                <w:sz w:val="16"/>
                <w:szCs w:val="20"/>
              </w:rPr>
              <w:t>2018</w:t>
            </w:r>
          </w:p>
        </w:tc>
        <w:tc>
          <w:tcPr>
            <w:tcW w:w="524"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3E005E96" w14:textId="77777777" w:rsidR="0029293C" w:rsidRPr="0042309F" w:rsidRDefault="0029293C" w:rsidP="0029293C">
            <w:pPr>
              <w:autoSpaceDE w:val="0"/>
              <w:autoSpaceDN w:val="0"/>
              <w:adjustRightInd w:val="0"/>
              <w:jc w:val="center"/>
              <w:rPr>
                <w:rFonts w:cs="Verdana"/>
                <w:b/>
                <w:bCs/>
                <w:color w:val="000000"/>
                <w:sz w:val="16"/>
                <w:szCs w:val="20"/>
                <w:lang w:val="en-US"/>
              </w:rPr>
            </w:pPr>
            <w:r>
              <w:rPr>
                <w:rFonts w:cs="Verdana"/>
                <w:b/>
                <w:bCs/>
                <w:color w:val="000000"/>
                <w:sz w:val="16"/>
                <w:szCs w:val="20"/>
              </w:rPr>
              <w:t>2017</w:t>
            </w:r>
          </w:p>
        </w:tc>
        <w:tc>
          <w:tcPr>
            <w:tcW w:w="375"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2F3987BF" w14:textId="77777777" w:rsidR="0029293C" w:rsidRPr="00B8347B" w:rsidRDefault="0029293C" w:rsidP="0029293C">
            <w:pPr>
              <w:autoSpaceDE w:val="0"/>
              <w:autoSpaceDN w:val="0"/>
              <w:adjustRightInd w:val="0"/>
              <w:jc w:val="center"/>
              <w:rPr>
                <w:rFonts w:cs="Verdana"/>
                <w:b/>
                <w:bCs/>
                <w:color w:val="000000"/>
                <w:sz w:val="16"/>
                <w:szCs w:val="20"/>
              </w:rPr>
            </w:pPr>
            <w:r w:rsidRPr="00B8347B">
              <w:rPr>
                <w:rFonts w:cs="Verdana"/>
                <w:b/>
                <w:bCs/>
                <w:color w:val="000000"/>
                <w:sz w:val="16"/>
                <w:szCs w:val="20"/>
              </w:rPr>
              <w:t>%</w:t>
            </w:r>
          </w:p>
        </w:tc>
        <w:tc>
          <w:tcPr>
            <w:tcW w:w="489"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4D196967" w14:textId="77777777" w:rsidR="0029293C" w:rsidRPr="0042309F" w:rsidRDefault="0029293C" w:rsidP="0029293C">
            <w:pPr>
              <w:autoSpaceDE w:val="0"/>
              <w:autoSpaceDN w:val="0"/>
              <w:adjustRightInd w:val="0"/>
              <w:jc w:val="center"/>
              <w:rPr>
                <w:rFonts w:cs="Verdana"/>
                <w:b/>
                <w:bCs/>
                <w:color w:val="000000"/>
                <w:sz w:val="16"/>
                <w:szCs w:val="20"/>
                <w:lang w:val="en-US"/>
              </w:rPr>
            </w:pPr>
            <w:r>
              <w:rPr>
                <w:rFonts w:cs="Verdana"/>
                <w:b/>
                <w:bCs/>
                <w:color w:val="000000"/>
                <w:sz w:val="16"/>
                <w:szCs w:val="20"/>
              </w:rPr>
              <w:t>2018</w:t>
            </w:r>
          </w:p>
        </w:tc>
        <w:tc>
          <w:tcPr>
            <w:tcW w:w="489"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62ED650A" w14:textId="77777777" w:rsidR="0029293C" w:rsidRPr="0042309F" w:rsidRDefault="0029293C" w:rsidP="0029293C">
            <w:pPr>
              <w:autoSpaceDE w:val="0"/>
              <w:autoSpaceDN w:val="0"/>
              <w:adjustRightInd w:val="0"/>
              <w:jc w:val="center"/>
              <w:rPr>
                <w:rFonts w:cs="Verdana"/>
                <w:b/>
                <w:bCs/>
                <w:color w:val="000000"/>
                <w:sz w:val="16"/>
                <w:szCs w:val="20"/>
                <w:lang w:val="en-US"/>
              </w:rPr>
            </w:pPr>
            <w:r>
              <w:rPr>
                <w:rFonts w:cs="Verdana"/>
                <w:b/>
                <w:bCs/>
                <w:color w:val="000000"/>
                <w:sz w:val="16"/>
                <w:szCs w:val="20"/>
              </w:rPr>
              <w:t>2017</w:t>
            </w:r>
          </w:p>
        </w:tc>
        <w:tc>
          <w:tcPr>
            <w:tcW w:w="383"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484A1B8E" w14:textId="77777777" w:rsidR="0029293C" w:rsidRPr="00B8347B" w:rsidRDefault="0029293C" w:rsidP="0029293C">
            <w:pPr>
              <w:autoSpaceDE w:val="0"/>
              <w:autoSpaceDN w:val="0"/>
              <w:adjustRightInd w:val="0"/>
              <w:jc w:val="center"/>
              <w:rPr>
                <w:rFonts w:cs="Verdana"/>
                <w:b/>
                <w:bCs/>
                <w:color w:val="000000"/>
                <w:sz w:val="16"/>
                <w:szCs w:val="20"/>
              </w:rPr>
            </w:pPr>
            <w:r w:rsidRPr="00B8347B">
              <w:rPr>
                <w:rFonts w:cs="Verdana"/>
                <w:b/>
                <w:bCs/>
                <w:color w:val="000000"/>
                <w:sz w:val="16"/>
                <w:szCs w:val="20"/>
              </w:rPr>
              <w:t>%</w:t>
            </w:r>
          </w:p>
        </w:tc>
        <w:tc>
          <w:tcPr>
            <w:tcW w:w="435"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5E0FF824" w14:textId="77777777" w:rsidR="0029293C" w:rsidRPr="0042309F" w:rsidRDefault="0029293C" w:rsidP="0029293C">
            <w:pPr>
              <w:autoSpaceDE w:val="0"/>
              <w:autoSpaceDN w:val="0"/>
              <w:adjustRightInd w:val="0"/>
              <w:jc w:val="center"/>
              <w:rPr>
                <w:rFonts w:cs="Verdana"/>
                <w:b/>
                <w:bCs/>
                <w:color w:val="000000"/>
                <w:sz w:val="16"/>
                <w:szCs w:val="20"/>
                <w:lang w:val="en-US"/>
              </w:rPr>
            </w:pPr>
            <w:r>
              <w:rPr>
                <w:rFonts w:cs="Verdana"/>
                <w:b/>
                <w:bCs/>
                <w:color w:val="000000"/>
                <w:sz w:val="16"/>
                <w:szCs w:val="20"/>
              </w:rPr>
              <w:t>2018</w:t>
            </w:r>
          </w:p>
        </w:tc>
        <w:tc>
          <w:tcPr>
            <w:tcW w:w="447"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25AF69F3" w14:textId="77777777" w:rsidR="0029293C" w:rsidRPr="0042309F" w:rsidRDefault="0029293C" w:rsidP="0029293C">
            <w:pPr>
              <w:autoSpaceDE w:val="0"/>
              <w:autoSpaceDN w:val="0"/>
              <w:adjustRightInd w:val="0"/>
              <w:jc w:val="center"/>
              <w:rPr>
                <w:rFonts w:cs="Verdana"/>
                <w:b/>
                <w:bCs/>
                <w:color w:val="000000"/>
                <w:sz w:val="16"/>
                <w:szCs w:val="20"/>
                <w:lang w:val="en-US"/>
              </w:rPr>
            </w:pPr>
            <w:r>
              <w:rPr>
                <w:rFonts w:cs="Verdana"/>
                <w:b/>
                <w:bCs/>
                <w:color w:val="000000"/>
                <w:sz w:val="16"/>
                <w:szCs w:val="20"/>
              </w:rPr>
              <w:t>2017</w:t>
            </w:r>
          </w:p>
        </w:tc>
        <w:tc>
          <w:tcPr>
            <w:tcW w:w="422" w:type="pct"/>
            <w:tcBorders>
              <w:top w:val="single" w:sz="2" w:space="0" w:color="000000"/>
              <w:left w:val="single" w:sz="2" w:space="0" w:color="000000"/>
              <w:bottom w:val="single" w:sz="2" w:space="0" w:color="000000"/>
              <w:right w:val="single" w:sz="2" w:space="0" w:color="000000"/>
            </w:tcBorders>
            <w:shd w:val="solid" w:color="969696" w:fill="auto"/>
            <w:vAlign w:val="center"/>
          </w:tcPr>
          <w:p w14:paraId="55806631" w14:textId="77777777" w:rsidR="0029293C" w:rsidRPr="00B8347B" w:rsidRDefault="0029293C" w:rsidP="0029293C">
            <w:pPr>
              <w:autoSpaceDE w:val="0"/>
              <w:autoSpaceDN w:val="0"/>
              <w:adjustRightInd w:val="0"/>
              <w:jc w:val="center"/>
              <w:rPr>
                <w:rFonts w:cs="Verdana"/>
                <w:b/>
                <w:bCs/>
                <w:color w:val="000000"/>
                <w:sz w:val="16"/>
                <w:szCs w:val="20"/>
              </w:rPr>
            </w:pPr>
            <w:r w:rsidRPr="00B8347B">
              <w:rPr>
                <w:rFonts w:cs="Verdana"/>
                <w:b/>
                <w:bCs/>
                <w:color w:val="000000"/>
                <w:sz w:val="16"/>
                <w:szCs w:val="20"/>
              </w:rPr>
              <w:t>%</w:t>
            </w:r>
          </w:p>
        </w:tc>
      </w:tr>
      <w:tr w:rsidR="00293EA1" w:rsidRPr="00293EA1" w14:paraId="5EE88147" w14:textId="77777777" w:rsidTr="0029293C">
        <w:trPr>
          <w:trHeight w:val="250"/>
        </w:trPr>
        <w:tc>
          <w:tcPr>
            <w:tcW w:w="5000" w:type="pct"/>
            <w:gridSpan w:val="10"/>
            <w:tcBorders>
              <w:top w:val="single" w:sz="2" w:space="0" w:color="000000"/>
              <w:left w:val="single" w:sz="2" w:space="0" w:color="000000"/>
              <w:bottom w:val="single" w:sz="2" w:space="0" w:color="000000"/>
              <w:right w:val="single" w:sz="2" w:space="0" w:color="000000"/>
            </w:tcBorders>
            <w:vAlign w:val="center"/>
          </w:tcPr>
          <w:p w14:paraId="7BEA19B0" w14:textId="77777777" w:rsidR="0035482F" w:rsidRPr="00293EA1" w:rsidRDefault="0035482F" w:rsidP="0035482F">
            <w:pPr>
              <w:autoSpaceDE w:val="0"/>
              <w:autoSpaceDN w:val="0"/>
              <w:adjustRightInd w:val="0"/>
              <w:jc w:val="center"/>
              <w:rPr>
                <w:rFonts w:cs="Verdana"/>
                <w:b/>
                <w:bCs/>
                <w:sz w:val="15"/>
                <w:szCs w:val="15"/>
              </w:rPr>
            </w:pPr>
            <w:r w:rsidRPr="00293EA1">
              <w:rPr>
                <w:rFonts w:cs="Verdana"/>
                <w:b/>
                <w:bCs/>
                <w:sz w:val="15"/>
                <w:szCs w:val="15"/>
              </w:rPr>
              <w:t>Μη χρηματοπιστωτικός τομέας</w:t>
            </w:r>
          </w:p>
        </w:tc>
      </w:tr>
      <w:tr w:rsidR="0029293C" w:rsidRPr="00293EA1" w14:paraId="6F507E9A"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18B462E0"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Γεωργία-αλιεία</w:t>
            </w:r>
          </w:p>
        </w:tc>
        <w:tc>
          <w:tcPr>
            <w:tcW w:w="518"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5B41FC4C"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1.907</w:t>
            </w:r>
          </w:p>
        </w:tc>
        <w:tc>
          <w:tcPr>
            <w:tcW w:w="524"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D78D00C"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1.787</w:t>
            </w:r>
          </w:p>
        </w:tc>
        <w:tc>
          <w:tcPr>
            <w:tcW w:w="37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ED20711" w14:textId="77777777" w:rsidR="0029293C" w:rsidRPr="005C605A" w:rsidRDefault="0029293C" w:rsidP="0029293C">
            <w:pPr>
              <w:jc w:val="right"/>
              <w:rPr>
                <w:rFonts w:cs="Arial"/>
                <w:bCs/>
                <w:sz w:val="16"/>
                <w:szCs w:val="16"/>
              </w:rPr>
            </w:pPr>
            <w:r w:rsidRPr="005C605A">
              <w:rPr>
                <w:rFonts w:cs="Arial"/>
                <w:bCs/>
                <w:sz w:val="16"/>
                <w:szCs w:val="16"/>
              </w:rPr>
              <w:t>6,7</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A66058C"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1.504</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6EF94C5"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1.559</w:t>
            </w:r>
          </w:p>
        </w:tc>
        <w:tc>
          <w:tcPr>
            <w:tcW w:w="383"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02AF2EE" w14:textId="77777777" w:rsidR="0029293C" w:rsidRPr="00843377" w:rsidRDefault="0029293C" w:rsidP="0029293C">
            <w:pPr>
              <w:jc w:val="right"/>
              <w:rPr>
                <w:rFonts w:cs="Arial"/>
                <w:bCs/>
                <w:sz w:val="16"/>
                <w:szCs w:val="16"/>
              </w:rPr>
            </w:pPr>
            <w:r w:rsidRPr="00843377">
              <w:rPr>
                <w:rFonts w:cs="Arial"/>
                <w:bCs/>
                <w:sz w:val="16"/>
                <w:szCs w:val="16"/>
              </w:rPr>
              <w:t>-3,5</w:t>
            </w:r>
          </w:p>
        </w:tc>
        <w:tc>
          <w:tcPr>
            <w:tcW w:w="43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AB65220"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-46</w:t>
            </w:r>
          </w:p>
        </w:tc>
        <w:tc>
          <w:tcPr>
            <w:tcW w:w="447"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F798245"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42</w:t>
            </w:r>
          </w:p>
        </w:tc>
        <w:tc>
          <w:tcPr>
            <w:tcW w:w="422"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3877998" w14:textId="77777777" w:rsidR="0029293C" w:rsidRPr="005C605A" w:rsidRDefault="0029293C" w:rsidP="0029293C">
            <w:pPr>
              <w:jc w:val="right"/>
              <w:rPr>
                <w:rFonts w:cs="Arial"/>
                <w:bCs/>
                <w:sz w:val="16"/>
                <w:szCs w:val="16"/>
              </w:rPr>
            </w:pPr>
            <w:r w:rsidRPr="005C605A">
              <w:rPr>
                <w:rFonts w:cs="Arial"/>
                <w:bCs/>
                <w:sz w:val="16"/>
                <w:szCs w:val="16"/>
              </w:rPr>
              <w:t>-209,4</w:t>
            </w:r>
          </w:p>
        </w:tc>
      </w:tr>
      <w:tr w:rsidR="0029293C" w:rsidRPr="00293EA1" w14:paraId="58A199CC"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vAlign w:val="center"/>
          </w:tcPr>
          <w:p w14:paraId="7E15D799"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Ορυχεία-λατομεία</w:t>
            </w:r>
          </w:p>
        </w:tc>
        <w:tc>
          <w:tcPr>
            <w:tcW w:w="518" w:type="pct"/>
            <w:tcBorders>
              <w:top w:val="single" w:sz="2" w:space="0" w:color="000000"/>
              <w:left w:val="single" w:sz="2" w:space="0" w:color="000000"/>
              <w:bottom w:val="single" w:sz="2" w:space="0" w:color="000000"/>
              <w:right w:val="single" w:sz="2" w:space="0" w:color="000000"/>
            </w:tcBorders>
            <w:vAlign w:val="center"/>
          </w:tcPr>
          <w:p w14:paraId="26FCF9F3"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1.903</w:t>
            </w:r>
          </w:p>
        </w:tc>
        <w:tc>
          <w:tcPr>
            <w:tcW w:w="524" w:type="pct"/>
            <w:tcBorders>
              <w:top w:val="single" w:sz="2" w:space="0" w:color="000000"/>
              <w:left w:val="single" w:sz="2" w:space="0" w:color="000000"/>
              <w:bottom w:val="single" w:sz="2" w:space="0" w:color="000000"/>
              <w:right w:val="single" w:sz="2" w:space="0" w:color="000000"/>
            </w:tcBorders>
            <w:vAlign w:val="center"/>
          </w:tcPr>
          <w:p w14:paraId="520DB25F"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1.727</w:t>
            </w:r>
          </w:p>
        </w:tc>
        <w:tc>
          <w:tcPr>
            <w:tcW w:w="375" w:type="pct"/>
            <w:tcBorders>
              <w:top w:val="single" w:sz="2" w:space="0" w:color="000000"/>
              <w:left w:val="single" w:sz="2" w:space="0" w:color="000000"/>
              <w:bottom w:val="single" w:sz="2" w:space="0" w:color="000000"/>
              <w:right w:val="single" w:sz="2" w:space="0" w:color="000000"/>
            </w:tcBorders>
            <w:vAlign w:val="center"/>
          </w:tcPr>
          <w:p w14:paraId="7280D135" w14:textId="77777777" w:rsidR="0029293C" w:rsidRPr="005C605A" w:rsidRDefault="0029293C" w:rsidP="0029293C">
            <w:pPr>
              <w:jc w:val="right"/>
              <w:rPr>
                <w:rFonts w:cs="Arial"/>
                <w:bCs/>
                <w:sz w:val="16"/>
                <w:szCs w:val="16"/>
              </w:rPr>
            </w:pPr>
            <w:r w:rsidRPr="005C605A">
              <w:rPr>
                <w:rFonts w:cs="Arial"/>
                <w:bCs/>
                <w:sz w:val="16"/>
                <w:szCs w:val="16"/>
              </w:rPr>
              <w:t>10,2</w:t>
            </w:r>
          </w:p>
        </w:tc>
        <w:tc>
          <w:tcPr>
            <w:tcW w:w="489" w:type="pct"/>
            <w:tcBorders>
              <w:top w:val="single" w:sz="2" w:space="0" w:color="000000"/>
              <w:left w:val="single" w:sz="2" w:space="0" w:color="000000"/>
              <w:bottom w:val="single" w:sz="2" w:space="0" w:color="000000"/>
              <w:right w:val="single" w:sz="2" w:space="0" w:color="000000"/>
            </w:tcBorders>
            <w:vAlign w:val="center"/>
          </w:tcPr>
          <w:p w14:paraId="52E6D145"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382</w:t>
            </w:r>
          </w:p>
        </w:tc>
        <w:tc>
          <w:tcPr>
            <w:tcW w:w="489" w:type="pct"/>
            <w:tcBorders>
              <w:top w:val="single" w:sz="2" w:space="0" w:color="000000"/>
              <w:left w:val="single" w:sz="2" w:space="0" w:color="000000"/>
              <w:bottom w:val="single" w:sz="2" w:space="0" w:color="000000"/>
              <w:right w:val="single" w:sz="2" w:space="0" w:color="000000"/>
            </w:tcBorders>
            <w:vAlign w:val="center"/>
          </w:tcPr>
          <w:p w14:paraId="7BF71702"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303</w:t>
            </w:r>
          </w:p>
        </w:tc>
        <w:tc>
          <w:tcPr>
            <w:tcW w:w="383" w:type="pct"/>
            <w:tcBorders>
              <w:top w:val="single" w:sz="2" w:space="0" w:color="000000"/>
              <w:left w:val="single" w:sz="2" w:space="0" w:color="000000"/>
              <w:bottom w:val="single" w:sz="2" w:space="0" w:color="000000"/>
              <w:right w:val="single" w:sz="2" w:space="0" w:color="000000"/>
            </w:tcBorders>
            <w:vAlign w:val="center"/>
          </w:tcPr>
          <w:p w14:paraId="513AAADA" w14:textId="77777777" w:rsidR="0029293C" w:rsidRPr="00843377" w:rsidRDefault="0029293C" w:rsidP="0029293C">
            <w:pPr>
              <w:jc w:val="right"/>
              <w:rPr>
                <w:rFonts w:cs="Arial"/>
                <w:bCs/>
                <w:sz w:val="16"/>
                <w:szCs w:val="16"/>
              </w:rPr>
            </w:pPr>
            <w:r w:rsidRPr="00843377">
              <w:rPr>
                <w:rFonts w:cs="Arial"/>
                <w:bCs/>
                <w:sz w:val="16"/>
                <w:szCs w:val="16"/>
              </w:rPr>
              <w:t>25,8</w:t>
            </w:r>
          </w:p>
        </w:tc>
        <w:tc>
          <w:tcPr>
            <w:tcW w:w="435" w:type="pct"/>
            <w:tcBorders>
              <w:top w:val="single" w:sz="2" w:space="0" w:color="000000"/>
              <w:left w:val="single" w:sz="2" w:space="0" w:color="000000"/>
              <w:bottom w:val="single" w:sz="2" w:space="0" w:color="000000"/>
              <w:right w:val="single" w:sz="2" w:space="0" w:color="000000"/>
            </w:tcBorders>
            <w:vAlign w:val="center"/>
          </w:tcPr>
          <w:p w14:paraId="52B9423D"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-37</w:t>
            </w:r>
          </w:p>
        </w:tc>
        <w:tc>
          <w:tcPr>
            <w:tcW w:w="447" w:type="pct"/>
            <w:tcBorders>
              <w:top w:val="single" w:sz="2" w:space="0" w:color="000000"/>
              <w:left w:val="single" w:sz="2" w:space="0" w:color="000000"/>
              <w:bottom w:val="single" w:sz="2" w:space="0" w:color="000000"/>
              <w:right w:val="single" w:sz="2" w:space="0" w:color="000000"/>
            </w:tcBorders>
            <w:vAlign w:val="center"/>
          </w:tcPr>
          <w:p w14:paraId="282EFE38"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39</w:t>
            </w:r>
          </w:p>
        </w:tc>
        <w:tc>
          <w:tcPr>
            <w:tcW w:w="422" w:type="pct"/>
            <w:tcBorders>
              <w:top w:val="single" w:sz="2" w:space="0" w:color="000000"/>
              <w:left w:val="single" w:sz="2" w:space="0" w:color="000000"/>
              <w:bottom w:val="single" w:sz="2" w:space="0" w:color="000000"/>
              <w:right w:val="single" w:sz="2" w:space="0" w:color="000000"/>
            </w:tcBorders>
            <w:vAlign w:val="center"/>
          </w:tcPr>
          <w:p w14:paraId="2DDB7EF0" w14:textId="77777777" w:rsidR="0029293C" w:rsidRPr="005C605A" w:rsidRDefault="0029293C" w:rsidP="0029293C">
            <w:pPr>
              <w:jc w:val="right"/>
              <w:rPr>
                <w:rFonts w:cs="Arial"/>
                <w:bCs/>
                <w:sz w:val="16"/>
                <w:szCs w:val="16"/>
              </w:rPr>
            </w:pPr>
            <w:r w:rsidRPr="005C605A">
              <w:rPr>
                <w:rFonts w:cs="Arial"/>
                <w:bCs/>
                <w:sz w:val="16"/>
                <w:szCs w:val="16"/>
              </w:rPr>
              <w:t>-194,3</w:t>
            </w:r>
          </w:p>
        </w:tc>
      </w:tr>
      <w:tr w:rsidR="0029293C" w:rsidRPr="00293EA1" w14:paraId="3AF3B02A" w14:textId="77777777" w:rsidTr="0029293C">
        <w:trPr>
          <w:trHeight w:val="206"/>
        </w:trPr>
        <w:tc>
          <w:tcPr>
            <w:tcW w:w="916"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4A96146E"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Μεταποίηση</w:t>
            </w:r>
          </w:p>
        </w:tc>
        <w:tc>
          <w:tcPr>
            <w:tcW w:w="518"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A9A9A52"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50.291</w:t>
            </w:r>
          </w:p>
        </w:tc>
        <w:tc>
          <w:tcPr>
            <w:tcW w:w="524"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181F3E3E"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48.857</w:t>
            </w:r>
          </w:p>
        </w:tc>
        <w:tc>
          <w:tcPr>
            <w:tcW w:w="37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1A38D25" w14:textId="77777777" w:rsidR="0029293C" w:rsidRPr="005C605A" w:rsidRDefault="0029293C" w:rsidP="0029293C">
            <w:pPr>
              <w:jc w:val="right"/>
              <w:rPr>
                <w:rFonts w:cs="Arial"/>
                <w:bCs/>
                <w:sz w:val="16"/>
                <w:szCs w:val="16"/>
              </w:rPr>
            </w:pPr>
            <w:r w:rsidRPr="005C605A">
              <w:rPr>
                <w:rFonts w:cs="Arial"/>
                <w:bCs/>
                <w:sz w:val="16"/>
                <w:szCs w:val="16"/>
              </w:rPr>
              <w:t>2,9</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A6A75E4"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48.045</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139A789"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42.457</w:t>
            </w:r>
          </w:p>
        </w:tc>
        <w:tc>
          <w:tcPr>
            <w:tcW w:w="383"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BDD13F3" w14:textId="77777777" w:rsidR="0029293C" w:rsidRPr="00843377" w:rsidRDefault="0029293C" w:rsidP="0029293C">
            <w:pPr>
              <w:jc w:val="right"/>
              <w:rPr>
                <w:rFonts w:cs="Arial"/>
                <w:bCs/>
                <w:sz w:val="16"/>
                <w:szCs w:val="16"/>
              </w:rPr>
            </w:pPr>
            <w:r w:rsidRPr="00843377">
              <w:rPr>
                <w:rFonts w:cs="Arial"/>
                <w:bCs/>
                <w:sz w:val="16"/>
                <w:szCs w:val="16"/>
              </w:rPr>
              <w:t>13,2</w:t>
            </w:r>
          </w:p>
        </w:tc>
        <w:tc>
          <w:tcPr>
            <w:tcW w:w="43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B5341AB"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2.448</w:t>
            </w:r>
          </w:p>
        </w:tc>
        <w:tc>
          <w:tcPr>
            <w:tcW w:w="447"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40B28A4"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2.397</w:t>
            </w:r>
          </w:p>
        </w:tc>
        <w:tc>
          <w:tcPr>
            <w:tcW w:w="422"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B230E97" w14:textId="77777777" w:rsidR="0029293C" w:rsidRPr="005C605A" w:rsidRDefault="0029293C" w:rsidP="0029293C">
            <w:pPr>
              <w:jc w:val="right"/>
              <w:rPr>
                <w:rFonts w:cs="Arial"/>
                <w:bCs/>
                <w:sz w:val="16"/>
                <w:szCs w:val="16"/>
              </w:rPr>
            </w:pPr>
            <w:r w:rsidRPr="005C605A">
              <w:rPr>
                <w:rFonts w:cs="Arial"/>
                <w:bCs/>
                <w:sz w:val="16"/>
                <w:szCs w:val="16"/>
              </w:rPr>
              <w:t>2,1</w:t>
            </w:r>
          </w:p>
        </w:tc>
      </w:tr>
      <w:tr w:rsidR="0029293C" w:rsidRPr="00293EA1" w14:paraId="69DA9555"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vAlign w:val="center"/>
          </w:tcPr>
          <w:p w14:paraId="31BA1818"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Ενέργεια-ύδρευση</w:t>
            </w:r>
          </w:p>
        </w:tc>
        <w:tc>
          <w:tcPr>
            <w:tcW w:w="518" w:type="pct"/>
            <w:tcBorders>
              <w:top w:val="single" w:sz="2" w:space="0" w:color="000000"/>
              <w:left w:val="single" w:sz="2" w:space="0" w:color="000000"/>
              <w:bottom w:val="single" w:sz="2" w:space="0" w:color="000000"/>
              <w:right w:val="single" w:sz="2" w:space="0" w:color="000000"/>
            </w:tcBorders>
            <w:vAlign w:val="center"/>
          </w:tcPr>
          <w:p w14:paraId="4B3B2C95"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30.520</w:t>
            </w:r>
          </w:p>
        </w:tc>
        <w:tc>
          <w:tcPr>
            <w:tcW w:w="524" w:type="pct"/>
            <w:tcBorders>
              <w:top w:val="single" w:sz="2" w:space="0" w:color="000000"/>
              <w:left w:val="single" w:sz="2" w:space="0" w:color="000000"/>
              <w:bottom w:val="single" w:sz="2" w:space="0" w:color="000000"/>
              <w:right w:val="single" w:sz="2" w:space="0" w:color="000000"/>
            </w:tcBorders>
            <w:vAlign w:val="center"/>
          </w:tcPr>
          <w:p w14:paraId="382A1E21"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32.566</w:t>
            </w:r>
          </w:p>
        </w:tc>
        <w:tc>
          <w:tcPr>
            <w:tcW w:w="375" w:type="pct"/>
            <w:tcBorders>
              <w:top w:val="single" w:sz="2" w:space="0" w:color="000000"/>
              <w:left w:val="single" w:sz="2" w:space="0" w:color="000000"/>
              <w:bottom w:val="single" w:sz="2" w:space="0" w:color="000000"/>
              <w:right w:val="single" w:sz="2" w:space="0" w:color="000000"/>
            </w:tcBorders>
            <w:vAlign w:val="center"/>
          </w:tcPr>
          <w:p w14:paraId="42D2B533" w14:textId="77777777" w:rsidR="0029293C" w:rsidRPr="005C605A" w:rsidRDefault="0029293C" w:rsidP="0029293C">
            <w:pPr>
              <w:jc w:val="right"/>
              <w:rPr>
                <w:bCs/>
                <w:sz w:val="16"/>
                <w:szCs w:val="16"/>
              </w:rPr>
            </w:pPr>
            <w:r w:rsidRPr="005C605A">
              <w:rPr>
                <w:bCs/>
                <w:sz w:val="16"/>
                <w:szCs w:val="16"/>
              </w:rPr>
              <w:t>-6,3</w:t>
            </w:r>
          </w:p>
        </w:tc>
        <w:tc>
          <w:tcPr>
            <w:tcW w:w="489" w:type="pct"/>
            <w:tcBorders>
              <w:top w:val="single" w:sz="2" w:space="0" w:color="000000"/>
              <w:left w:val="single" w:sz="2" w:space="0" w:color="000000"/>
              <w:bottom w:val="single" w:sz="2" w:space="0" w:color="000000"/>
              <w:right w:val="single" w:sz="2" w:space="0" w:color="000000"/>
            </w:tcBorders>
            <w:vAlign w:val="center"/>
          </w:tcPr>
          <w:p w14:paraId="287E3DDF"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10.298</w:t>
            </w:r>
          </w:p>
        </w:tc>
        <w:tc>
          <w:tcPr>
            <w:tcW w:w="489" w:type="pct"/>
            <w:tcBorders>
              <w:top w:val="single" w:sz="2" w:space="0" w:color="000000"/>
              <w:left w:val="single" w:sz="2" w:space="0" w:color="000000"/>
              <w:bottom w:val="single" w:sz="2" w:space="0" w:color="000000"/>
              <w:right w:val="single" w:sz="2" w:space="0" w:color="000000"/>
            </w:tcBorders>
            <w:vAlign w:val="center"/>
          </w:tcPr>
          <w:p w14:paraId="0E184D69"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10.249</w:t>
            </w:r>
          </w:p>
        </w:tc>
        <w:tc>
          <w:tcPr>
            <w:tcW w:w="383" w:type="pct"/>
            <w:tcBorders>
              <w:top w:val="single" w:sz="2" w:space="0" w:color="000000"/>
              <w:left w:val="single" w:sz="2" w:space="0" w:color="000000"/>
              <w:bottom w:val="single" w:sz="2" w:space="0" w:color="000000"/>
              <w:right w:val="single" w:sz="2" w:space="0" w:color="000000"/>
            </w:tcBorders>
            <w:vAlign w:val="center"/>
          </w:tcPr>
          <w:p w14:paraId="555E6DDD" w14:textId="77777777" w:rsidR="0029293C" w:rsidRPr="00843377" w:rsidRDefault="0029293C" w:rsidP="0029293C">
            <w:pPr>
              <w:jc w:val="right"/>
              <w:rPr>
                <w:bCs/>
                <w:sz w:val="16"/>
                <w:szCs w:val="16"/>
              </w:rPr>
            </w:pPr>
            <w:r w:rsidRPr="00843377">
              <w:rPr>
                <w:bCs/>
                <w:sz w:val="16"/>
                <w:szCs w:val="16"/>
              </w:rPr>
              <w:t>0,5</w:t>
            </w:r>
          </w:p>
        </w:tc>
        <w:tc>
          <w:tcPr>
            <w:tcW w:w="435" w:type="pct"/>
            <w:tcBorders>
              <w:top w:val="single" w:sz="2" w:space="0" w:color="000000"/>
              <w:left w:val="single" w:sz="2" w:space="0" w:color="000000"/>
              <w:bottom w:val="single" w:sz="2" w:space="0" w:color="000000"/>
              <w:right w:val="single" w:sz="2" w:space="0" w:color="000000"/>
            </w:tcBorders>
            <w:vAlign w:val="center"/>
          </w:tcPr>
          <w:p w14:paraId="22A9A462"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143</w:t>
            </w:r>
          </w:p>
        </w:tc>
        <w:tc>
          <w:tcPr>
            <w:tcW w:w="447" w:type="pct"/>
            <w:tcBorders>
              <w:top w:val="single" w:sz="2" w:space="0" w:color="000000"/>
              <w:left w:val="single" w:sz="2" w:space="0" w:color="000000"/>
              <w:bottom w:val="single" w:sz="2" w:space="0" w:color="000000"/>
              <w:right w:val="single" w:sz="2" w:space="0" w:color="000000"/>
            </w:tcBorders>
            <w:vAlign w:val="center"/>
          </w:tcPr>
          <w:p w14:paraId="6114090F"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946</w:t>
            </w:r>
          </w:p>
        </w:tc>
        <w:tc>
          <w:tcPr>
            <w:tcW w:w="422" w:type="pct"/>
            <w:tcBorders>
              <w:top w:val="single" w:sz="2" w:space="0" w:color="000000"/>
              <w:left w:val="single" w:sz="2" w:space="0" w:color="000000"/>
              <w:bottom w:val="single" w:sz="2" w:space="0" w:color="000000"/>
              <w:right w:val="single" w:sz="2" w:space="0" w:color="000000"/>
            </w:tcBorders>
            <w:vAlign w:val="center"/>
          </w:tcPr>
          <w:p w14:paraId="58AC6CE6" w14:textId="77777777" w:rsidR="0029293C" w:rsidRPr="005C605A" w:rsidRDefault="0029293C" w:rsidP="0029293C">
            <w:pPr>
              <w:jc w:val="right"/>
              <w:rPr>
                <w:bCs/>
                <w:sz w:val="16"/>
                <w:szCs w:val="16"/>
              </w:rPr>
            </w:pPr>
            <w:r w:rsidRPr="005C605A">
              <w:rPr>
                <w:bCs/>
                <w:sz w:val="16"/>
                <w:szCs w:val="16"/>
              </w:rPr>
              <w:t>-84,9</w:t>
            </w:r>
          </w:p>
        </w:tc>
      </w:tr>
      <w:tr w:rsidR="0029293C" w:rsidRPr="00293EA1" w14:paraId="051FA3BE"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19FDFA9"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Κατασκευές</w:t>
            </w:r>
          </w:p>
        </w:tc>
        <w:tc>
          <w:tcPr>
            <w:tcW w:w="518"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D53FA95"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15.081</w:t>
            </w:r>
          </w:p>
        </w:tc>
        <w:tc>
          <w:tcPr>
            <w:tcW w:w="524"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49C11C11"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15.293</w:t>
            </w:r>
          </w:p>
        </w:tc>
        <w:tc>
          <w:tcPr>
            <w:tcW w:w="37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105E99D0" w14:textId="77777777" w:rsidR="0029293C" w:rsidRPr="005C605A" w:rsidRDefault="0029293C" w:rsidP="0029293C">
            <w:pPr>
              <w:jc w:val="right"/>
              <w:rPr>
                <w:rFonts w:cs="Arial"/>
                <w:bCs/>
                <w:sz w:val="16"/>
                <w:szCs w:val="16"/>
              </w:rPr>
            </w:pPr>
            <w:r w:rsidRPr="005C605A">
              <w:rPr>
                <w:rFonts w:cs="Arial"/>
                <w:bCs/>
                <w:sz w:val="16"/>
                <w:szCs w:val="16"/>
              </w:rPr>
              <w:t>-1,4</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183F67AE"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4.787</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53792AA4"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4.863</w:t>
            </w:r>
          </w:p>
        </w:tc>
        <w:tc>
          <w:tcPr>
            <w:tcW w:w="383"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A65CAC4" w14:textId="77777777" w:rsidR="0029293C" w:rsidRPr="00843377" w:rsidRDefault="0029293C" w:rsidP="0029293C">
            <w:pPr>
              <w:jc w:val="right"/>
              <w:rPr>
                <w:rFonts w:cs="Arial"/>
                <w:bCs/>
                <w:sz w:val="16"/>
                <w:szCs w:val="16"/>
              </w:rPr>
            </w:pPr>
            <w:r w:rsidRPr="00843377">
              <w:rPr>
                <w:rFonts w:cs="Arial"/>
                <w:bCs/>
                <w:sz w:val="16"/>
                <w:szCs w:val="16"/>
              </w:rPr>
              <w:t>-1,6</w:t>
            </w:r>
          </w:p>
        </w:tc>
        <w:tc>
          <w:tcPr>
            <w:tcW w:w="43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5E209E56"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-213</w:t>
            </w:r>
          </w:p>
        </w:tc>
        <w:tc>
          <w:tcPr>
            <w:tcW w:w="447"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46740FB"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-149</w:t>
            </w:r>
          </w:p>
        </w:tc>
        <w:tc>
          <w:tcPr>
            <w:tcW w:w="422"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8349AB4" w14:textId="77777777" w:rsidR="0029293C" w:rsidRPr="005C605A" w:rsidRDefault="0029293C" w:rsidP="0029293C">
            <w:pPr>
              <w:jc w:val="right"/>
              <w:rPr>
                <w:rFonts w:cs="Arial"/>
                <w:bCs/>
                <w:sz w:val="16"/>
                <w:szCs w:val="16"/>
              </w:rPr>
            </w:pPr>
            <w:r w:rsidRPr="005C605A">
              <w:rPr>
                <w:rFonts w:cs="Arial"/>
                <w:bCs/>
                <w:sz w:val="16"/>
                <w:szCs w:val="16"/>
              </w:rPr>
              <w:t>-42,8</w:t>
            </w:r>
          </w:p>
        </w:tc>
      </w:tr>
      <w:tr w:rsidR="0029293C" w:rsidRPr="00293EA1" w14:paraId="1A874936"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vAlign w:val="center"/>
          </w:tcPr>
          <w:p w14:paraId="29D953EA"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Εμπόριο</w:t>
            </w:r>
          </w:p>
        </w:tc>
        <w:tc>
          <w:tcPr>
            <w:tcW w:w="518" w:type="pct"/>
            <w:tcBorders>
              <w:top w:val="single" w:sz="2" w:space="0" w:color="000000"/>
              <w:left w:val="single" w:sz="2" w:space="0" w:color="000000"/>
              <w:bottom w:val="single" w:sz="2" w:space="0" w:color="000000"/>
              <w:right w:val="single" w:sz="2" w:space="0" w:color="000000"/>
            </w:tcBorders>
            <w:vAlign w:val="center"/>
          </w:tcPr>
          <w:p w14:paraId="11751213"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37.302</w:t>
            </w:r>
          </w:p>
        </w:tc>
        <w:tc>
          <w:tcPr>
            <w:tcW w:w="524" w:type="pct"/>
            <w:tcBorders>
              <w:top w:val="single" w:sz="2" w:space="0" w:color="000000"/>
              <w:left w:val="single" w:sz="2" w:space="0" w:color="000000"/>
              <w:bottom w:val="single" w:sz="2" w:space="0" w:color="000000"/>
              <w:right w:val="single" w:sz="2" w:space="0" w:color="000000"/>
            </w:tcBorders>
            <w:vAlign w:val="center"/>
          </w:tcPr>
          <w:p w14:paraId="5343231D"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34.902</w:t>
            </w:r>
          </w:p>
        </w:tc>
        <w:tc>
          <w:tcPr>
            <w:tcW w:w="375" w:type="pct"/>
            <w:tcBorders>
              <w:top w:val="single" w:sz="2" w:space="0" w:color="000000"/>
              <w:left w:val="single" w:sz="2" w:space="0" w:color="000000"/>
              <w:bottom w:val="single" w:sz="2" w:space="0" w:color="000000"/>
              <w:right w:val="single" w:sz="2" w:space="0" w:color="000000"/>
            </w:tcBorders>
            <w:vAlign w:val="center"/>
          </w:tcPr>
          <w:p w14:paraId="51A702ED" w14:textId="77777777" w:rsidR="0029293C" w:rsidRPr="005C605A" w:rsidRDefault="0029293C" w:rsidP="0029293C">
            <w:pPr>
              <w:jc w:val="right"/>
              <w:rPr>
                <w:rFonts w:cs="Arial"/>
                <w:bCs/>
                <w:sz w:val="16"/>
                <w:szCs w:val="16"/>
              </w:rPr>
            </w:pPr>
            <w:r w:rsidRPr="005C605A">
              <w:rPr>
                <w:rFonts w:cs="Arial"/>
                <w:bCs/>
                <w:sz w:val="16"/>
                <w:szCs w:val="16"/>
              </w:rPr>
              <w:t>6,9</w:t>
            </w:r>
          </w:p>
        </w:tc>
        <w:tc>
          <w:tcPr>
            <w:tcW w:w="489" w:type="pct"/>
            <w:tcBorders>
              <w:top w:val="single" w:sz="2" w:space="0" w:color="000000"/>
              <w:left w:val="single" w:sz="2" w:space="0" w:color="000000"/>
              <w:bottom w:val="single" w:sz="2" w:space="0" w:color="000000"/>
              <w:right w:val="single" w:sz="2" w:space="0" w:color="000000"/>
            </w:tcBorders>
            <w:vAlign w:val="center"/>
          </w:tcPr>
          <w:p w14:paraId="0F280D73"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59.453</w:t>
            </w:r>
          </w:p>
        </w:tc>
        <w:tc>
          <w:tcPr>
            <w:tcW w:w="489" w:type="pct"/>
            <w:tcBorders>
              <w:top w:val="single" w:sz="2" w:space="0" w:color="000000"/>
              <w:left w:val="single" w:sz="2" w:space="0" w:color="000000"/>
              <w:bottom w:val="single" w:sz="2" w:space="0" w:color="000000"/>
              <w:right w:val="single" w:sz="2" w:space="0" w:color="000000"/>
            </w:tcBorders>
            <w:vAlign w:val="center"/>
          </w:tcPr>
          <w:p w14:paraId="0E98B5F8"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52.929</w:t>
            </w:r>
          </w:p>
        </w:tc>
        <w:tc>
          <w:tcPr>
            <w:tcW w:w="383" w:type="pct"/>
            <w:tcBorders>
              <w:top w:val="single" w:sz="2" w:space="0" w:color="000000"/>
              <w:left w:val="single" w:sz="2" w:space="0" w:color="000000"/>
              <w:bottom w:val="single" w:sz="2" w:space="0" w:color="000000"/>
              <w:right w:val="single" w:sz="2" w:space="0" w:color="000000"/>
            </w:tcBorders>
            <w:vAlign w:val="center"/>
          </w:tcPr>
          <w:p w14:paraId="13899F9F" w14:textId="77777777" w:rsidR="0029293C" w:rsidRPr="00843377" w:rsidRDefault="0029293C" w:rsidP="0029293C">
            <w:pPr>
              <w:jc w:val="right"/>
              <w:rPr>
                <w:rFonts w:cs="Arial"/>
                <w:bCs/>
                <w:sz w:val="16"/>
                <w:szCs w:val="16"/>
              </w:rPr>
            </w:pPr>
            <w:r w:rsidRPr="00843377">
              <w:rPr>
                <w:rFonts w:cs="Arial"/>
                <w:bCs/>
                <w:sz w:val="16"/>
                <w:szCs w:val="16"/>
              </w:rPr>
              <w:t>12,3</w:t>
            </w:r>
          </w:p>
        </w:tc>
        <w:tc>
          <w:tcPr>
            <w:tcW w:w="435" w:type="pct"/>
            <w:tcBorders>
              <w:top w:val="single" w:sz="2" w:space="0" w:color="000000"/>
              <w:left w:val="single" w:sz="2" w:space="0" w:color="000000"/>
              <w:bottom w:val="single" w:sz="2" w:space="0" w:color="000000"/>
              <w:right w:val="single" w:sz="2" w:space="0" w:color="000000"/>
            </w:tcBorders>
            <w:vAlign w:val="center"/>
          </w:tcPr>
          <w:p w14:paraId="21BD56E7"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1.469</w:t>
            </w:r>
          </w:p>
        </w:tc>
        <w:tc>
          <w:tcPr>
            <w:tcW w:w="447" w:type="pct"/>
            <w:tcBorders>
              <w:top w:val="single" w:sz="2" w:space="0" w:color="000000"/>
              <w:left w:val="single" w:sz="2" w:space="0" w:color="000000"/>
              <w:bottom w:val="single" w:sz="2" w:space="0" w:color="000000"/>
              <w:right w:val="single" w:sz="2" w:space="0" w:color="000000"/>
            </w:tcBorders>
            <w:vAlign w:val="center"/>
          </w:tcPr>
          <w:p w14:paraId="77BBA1F9"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1.311</w:t>
            </w:r>
          </w:p>
        </w:tc>
        <w:tc>
          <w:tcPr>
            <w:tcW w:w="422" w:type="pct"/>
            <w:tcBorders>
              <w:top w:val="single" w:sz="2" w:space="0" w:color="000000"/>
              <w:left w:val="single" w:sz="2" w:space="0" w:color="000000"/>
              <w:bottom w:val="single" w:sz="2" w:space="0" w:color="000000"/>
              <w:right w:val="single" w:sz="2" w:space="0" w:color="000000"/>
            </w:tcBorders>
            <w:vAlign w:val="center"/>
          </w:tcPr>
          <w:p w14:paraId="7441C74A" w14:textId="77777777" w:rsidR="0029293C" w:rsidRPr="005C605A" w:rsidRDefault="0029293C" w:rsidP="0029293C">
            <w:pPr>
              <w:jc w:val="right"/>
              <w:rPr>
                <w:rFonts w:cs="Arial"/>
                <w:bCs/>
                <w:sz w:val="16"/>
                <w:szCs w:val="16"/>
              </w:rPr>
            </w:pPr>
            <w:r w:rsidRPr="005C605A">
              <w:rPr>
                <w:rFonts w:cs="Arial"/>
                <w:bCs/>
                <w:sz w:val="16"/>
                <w:szCs w:val="16"/>
              </w:rPr>
              <w:t>12,0</w:t>
            </w:r>
          </w:p>
        </w:tc>
      </w:tr>
      <w:tr w:rsidR="0029293C" w:rsidRPr="00293EA1" w14:paraId="1DCB9E81"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531062AD" w14:textId="77777777" w:rsidR="0029293C" w:rsidRPr="00293EA1" w:rsidRDefault="0029293C" w:rsidP="0029293C">
            <w:pPr>
              <w:autoSpaceDE w:val="0"/>
              <w:autoSpaceDN w:val="0"/>
              <w:adjustRightInd w:val="0"/>
              <w:jc w:val="left"/>
              <w:rPr>
                <w:rFonts w:cs="Verdana"/>
                <w:sz w:val="15"/>
                <w:szCs w:val="15"/>
              </w:rPr>
            </w:pPr>
            <w:proofErr w:type="spellStart"/>
            <w:r w:rsidRPr="00293EA1">
              <w:rPr>
                <w:rFonts w:cs="Verdana"/>
                <w:sz w:val="15"/>
                <w:szCs w:val="15"/>
              </w:rPr>
              <w:t>Ξεν</w:t>
            </w:r>
            <w:proofErr w:type="spellEnd"/>
            <w:r w:rsidRPr="00293EA1">
              <w:rPr>
                <w:rFonts w:cs="Verdana"/>
                <w:sz w:val="15"/>
                <w:szCs w:val="15"/>
              </w:rPr>
              <w:t>/</w:t>
            </w:r>
            <w:proofErr w:type="spellStart"/>
            <w:r w:rsidRPr="00293EA1">
              <w:rPr>
                <w:rFonts w:cs="Verdana"/>
                <w:sz w:val="15"/>
                <w:szCs w:val="15"/>
              </w:rPr>
              <w:t>χεία-εστ</w:t>
            </w:r>
            <w:proofErr w:type="spellEnd"/>
            <w:r w:rsidRPr="00293EA1">
              <w:rPr>
                <w:rFonts w:cs="Verdana"/>
                <w:sz w:val="15"/>
                <w:szCs w:val="15"/>
              </w:rPr>
              <w:t>/</w:t>
            </w:r>
            <w:proofErr w:type="spellStart"/>
            <w:r w:rsidRPr="00293EA1">
              <w:rPr>
                <w:rFonts w:cs="Verdana"/>
                <w:sz w:val="15"/>
                <w:szCs w:val="15"/>
              </w:rPr>
              <w:t>ρια</w:t>
            </w:r>
            <w:proofErr w:type="spellEnd"/>
          </w:p>
        </w:tc>
        <w:tc>
          <w:tcPr>
            <w:tcW w:w="518"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6A65A52"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11.096</w:t>
            </w:r>
          </w:p>
        </w:tc>
        <w:tc>
          <w:tcPr>
            <w:tcW w:w="524"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6E3BC9B"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10.484</w:t>
            </w:r>
          </w:p>
        </w:tc>
        <w:tc>
          <w:tcPr>
            <w:tcW w:w="37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9C73E5C" w14:textId="77777777" w:rsidR="0029293C" w:rsidRPr="005C605A" w:rsidRDefault="0029293C" w:rsidP="0029293C">
            <w:pPr>
              <w:jc w:val="right"/>
              <w:rPr>
                <w:rFonts w:cs="Arial"/>
                <w:bCs/>
                <w:sz w:val="16"/>
                <w:szCs w:val="16"/>
              </w:rPr>
            </w:pPr>
            <w:r w:rsidRPr="005C605A">
              <w:rPr>
                <w:rFonts w:cs="Arial"/>
                <w:bCs/>
                <w:sz w:val="16"/>
                <w:szCs w:val="16"/>
              </w:rPr>
              <w:t>5,8</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BAFFDCE"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3.212</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9A88C05"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2.868</w:t>
            </w:r>
          </w:p>
        </w:tc>
        <w:tc>
          <w:tcPr>
            <w:tcW w:w="383"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21080E6" w14:textId="77777777" w:rsidR="0029293C" w:rsidRPr="00843377" w:rsidRDefault="0029293C" w:rsidP="0029293C">
            <w:pPr>
              <w:jc w:val="right"/>
              <w:rPr>
                <w:rFonts w:cs="Arial"/>
                <w:bCs/>
                <w:sz w:val="16"/>
                <w:szCs w:val="16"/>
              </w:rPr>
            </w:pPr>
            <w:r w:rsidRPr="00843377">
              <w:rPr>
                <w:rFonts w:cs="Arial"/>
                <w:bCs/>
                <w:sz w:val="16"/>
                <w:szCs w:val="16"/>
              </w:rPr>
              <w:t>12,0</w:t>
            </w:r>
          </w:p>
        </w:tc>
        <w:tc>
          <w:tcPr>
            <w:tcW w:w="43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4E2DAC4E"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237</w:t>
            </w:r>
          </w:p>
        </w:tc>
        <w:tc>
          <w:tcPr>
            <w:tcW w:w="447"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49380162"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251</w:t>
            </w:r>
          </w:p>
        </w:tc>
        <w:tc>
          <w:tcPr>
            <w:tcW w:w="422"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499DD4E" w14:textId="77777777" w:rsidR="0029293C" w:rsidRPr="005C605A" w:rsidRDefault="0029293C" w:rsidP="0029293C">
            <w:pPr>
              <w:jc w:val="right"/>
              <w:rPr>
                <w:rFonts w:cs="Arial"/>
                <w:bCs/>
                <w:sz w:val="16"/>
                <w:szCs w:val="16"/>
              </w:rPr>
            </w:pPr>
            <w:r w:rsidRPr="005C605A">
              <w:rPr>
                <w:rFonts w:cs="Arial"/>
                <w:bCs/>
                <w:sz w:val="16"/>
                <w:szCs w:val="16"/>
              </w:rPr>
              <w:t>-5,8</w:t>
            </w:r>
          </w:p>
        </w:tc>
      </w:tr>
      <w:tr w:rsidR="0029293C" w:rsidRPr="00293EA1" w14:paraId="38A814B9"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vAlign w:val="center"/>
          </w:tcPr>
          <w:p w14:paraId="278C71F0" w14:textId="77777777" w:rsidR="0029293C" w:rsidRPr="00293EA1" w:rsidRDefault="0029293C" w:rsidP="0029293C">
            <w:pPr>
              <w:autoSpaceDE w:val="0"/>
              <w:autoSpaceDN w:val="0"/>
              <w:adjustRightInd w:val="0"/>
              <w:jc w:val="left"/>
              <w:rPr>
                <w:rFonts w:cs="Verdana"/>
                <w:sz w:val="15"/>
                <w:szCs w:val="15"/>
              </w:rPr>
            </w:pPr>
            <w:proofErr w:type="spellStart"/>
            <w:r w:rsidRPr="00293EA1">
              <w:rPr>
                <w:rFonts w:cs="Verdana"/>
                <w:sz w:val="15"/>
                <w:szCs w:val="15"/>
              </w:rPr>
              <w:t>Μετ</w:t>
            </w:r>
            <w:proofErr w:type="spellEnd"/>
            <w:r w:rsidRPr="00293EA1">
              <w:rPr>
                <w:rFonts w:cs="Verdana"/>
                <w:sz w:val="15"/>
                <w:szCs w:val="15"/>
              </w:rPr>
              <w:t>/</w:t>
            </w:r>
            <w:proofErr w:type="spellStart"/>
            <w:r w:rsidRPr="00293EA1">
              <w:rPr>
                <w:rFonts w:cs="Verdana"/>
                <w:sz w:val="15"/>
                <w:szCs w:val="15"/>
              </w:rPr>
              <w:t>ρές-επικ</w:t>
            </w:r>
            <w:proofErr w:type="spellEnd"/>
            <w:r w:rsidRPr="00293EA1">
              <w:rPr>
                <w:rFonts w:cs="Verdana"/>
                <w:sz w:val="15"/>
                <w:szCs w:val="15"/>
              </w:rPr>
              <w:t>/</w:t>
            </w:r>
            <w:proofErr w:type="spellStart"/>
            <w:r w:rsidRPr="00293EA1">
              <w:rPr>
                <w:rFonts w:cs="Verdana"/>
                <w:sz w:val="15"/>
                <w:szCs w:val="15"/>
              </w:rPr>
              <w:t>νίες</w:t>
            </w:r>
            <w:proofErr w:type="spellEnd"/>
          </w:p>
        </w:tc>
        <w:tc>
          <w:tcPr>
            <w:tcW w:w="518" w:type="pct"/>
            <w:tcBorders>
              <w:top w:val="single" w:sz="2" w:space="0" w:color="000000"/>
              <w:left w:val="single" w:sz="2" w:space="0" w:color="000000"/>
              <w:bottom w:val="single" w:sz="2" w:space="0" w:color="000000"/>
              <w:right w:val="single" w:sz="2" w:space="0" w:color="000000"/>
            </w:tcBorders>
            <w:vAlign w:val="center"/>
          </w:tcPr>
          <w:p w14:paraId="51FBCB12"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40.100</w:t>
            </w:r>
          </w:p>
        </w:tc>
        <w:tc>
          <w:tcPr>
            <w:tcW w:w="524" w:type="pct"/>
            <w:tcBorders>
              <w:top w:val="single" w:sz="2" w:space="0" w:color="000000"/>
              <w:left w:val="single" w:sz="2" w:space="0" w:color="000000"/>
              <w:bottom w:val="single" w:sz="2" w:space="0" w:color="000000"/>
              <w:right w:val="single" w:sz="2" w:space="0" w:color="000000"/>
            </w:tcBorders>
            <w:vAlign w:val="center"/>
          </w:tcPr>
          <w:p w14:paraId="43AA44EF"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39.673</w:t>
            </w:r>
          </w:p>
        </w:tc>
        <w:tc>
          <w:tcPr>
            <w:tcW w:w="375" w:type="pct"/>
            <w:tcBorders>
              <w:top w:val="single" w:sz="2" w:space="0" w:color="000000"/>
              <w:left w:val="single" w:sz="2" w:space="0" w:color="000000"/>
              <w:bottom w:val="single" w:sz="2" w:space="0" w:color="000000"/>
              <w:right w:val="single" w:sz="2" w:space="0" w:color="000000"/>
            </w:tcBorders>
            <w:vAlign w:val="center"/>
          </w:tcPr>
          <w:p w14:paraId="76236507" w14:textId="77777777" w:rsidR="0029293C" w:rsidRPr="005C605A" w:rsidRDefault="0029293C" w:rsidP="0029293C">
            <w:pPr>
              <w:jc w:val="right"/>
              <w:rPr>
                <w:rFonts w:cs="Arial"/>
                <w:bCs/>
                <w:sz w:val="16"/>
                <w:szCs w:val="16"/>
              </w:rPr>
            </w:pPr>
            <w:r w:rsidRPr="005C605A">
              <w:rPr>
                <w:rFonts w:cs="Arial"/>
                <w:bCs/>
                <w:sz w:val="16"/>
                <w:szCs w:val="16"/>
              </w:rPr>
              <w:t>1,1</w:t>
            </w:r>
          </w:p>
        </w:tc>
        <w:tc>
          <w:tcPr>
            <w:tcW w:w="489" w:type="pct"/>
            <w:tcBorders>
              <w:top w:val="single" w:sz="2" w:space="0" w:color="000000"/>
              <w:left w:val="single" w:sz="2" w:space="0" w:color="000000"/>
              <w:bottom w:val="single" w:sz="2" w:space="0" w:color="000000"/>
              <w:right w:val="single" w:sz="2" w:space="0" w:color="000000"/>
            </w:tcBorders>
            <w:vAlign w:val="center"/>
          </w:tcPr>
          <w:p w14:paraId="46E7C670"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12.326</w:t>
            </w:r>
          </w:p>
        </w:tc>
        <w:tc>
          <w:tcPr>
            <w:tcW w:w="489" w:type="pct"/>
            <w:tcBorders>
              <w:top w:val="single" w:sz="2" w:space="0" w:color="000000"/>
              <w:left w:val="single" w:sz="2" w:space="0" w:color="000000"/>
              <w:bottom w:val="single" w:sz="2" w:space="0" w:color="000000"/>
              <w:right w:val="single" w:sz="2" w:space="0" w:color="000000"/>
            </w:tcBorders>
            <w:vAlign w:val="center"/>
          </w:tcPr>
          <w:p w14:paraId="44B48B22"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11.684</w:t>
            </w:r>
          </w:p>
        </w:tc>
        <w:tc>
          <w:tcPr>
            <w:tcW w:w="383" w:type="pct"/>
            <w:tcBorders>
              <w:top w:val="single" w:sz="2" w:space="0" w:color="000000"/>
              <w:left w:val="single" w:sz="2" w:space="0" w:color="000000"/>
              <w:bottom w:val="single" w:sz="2" w:space="0" w:color="000000"/>
              <w:right w:val="single" w:sz="2" w:space="0" w:color="000000"/>
            </w:tcBorders>
            <w:vAlign w:val="center"/>
          </w:tcPr>
          <w:p w14:paraId="5D4A6606" w14:textId="77777777" w:rsidR="0029293C" w:rsidRPr="005C605A" w:rsidRDefault="0029293C" w:rsidP="0029293C">
            <w:pPr>
              <w:jc w:val="right"/>
              <w:rPr>
                <w:rFonts w:cs="Arial"/>
                <w:bCs/>
                <w:sz w:val="16"/>
                <w:szCs w:val="16"/>
              </w:rPr>
            </w:pPr>
            <w:r w:rsidRPr="005C605A">
              <w:rPr>
                <w:rFonts w:cs="Arial"/>
                <w:bCs/>
                <w:sz w:val="16"/>
                <w:szCs w:val="16"/>
              </w:rPr>
              <w:t>5,5</w:t>
            </w:r>
          </w:p>
        </w:tc>
        <w:tc>
          <w:tcPr>
            <w:tcW w:w="435" w:type="pct"/>
            <w:tcBorders>
              <w:top w:val="single" w:sz="2" w:space="0" w:color="000000"/>
              <w:left w:val="single" w:sz="2" w:space="0" w:color="000000"/>
              <w:bottom w:val="single" w:sz="2" w:space="0" w:color="000000"/>
              <w:right w:val="single" w:sz="2" w:space="0" w:color="000000"/>
            </w:tcBorders>
            <w:vAlign w:val="center"/>
          </w:tcPr>
          <w:p w14:paraId="0A38E9BF"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1.322</w:t>
            </w:r>
          </w:p>
        </w:tc>
        <w:tc>
          <w:tcPr>
            <w:tcW w:w="447" w:type="pct"/>
            <w:tcBorders>
              <w:top w:val="single" w:sz="2" w:space="0" w:color="000000"/>
              <w:left w:val="single" w:sz="2" w:space="0" w:color="000000"/>
              <w:bottom w:val="single" w:sz="2" w:space="0" w:color="000000"/>
              <w:right w:val="single" w:sz="2" w:space="0" w:color="000000"/>
            </w:tcBorders>
            <w:vAlign w:val="center"/>
          </w:tcPr>
          <w:p w14:paraId="446BF7A3"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-373</w:t>
            </w:r>
          </w:p>
        </w:tc>
        <w:tc>
          <w:tcPr>
            <w:tcW w:w="422" w:type="pct"/>
            <w:tcBorders>
              <w:top w:val="single" w:sz="2" w:space="0" w:color="000000"/>
              <w:left w:val="single" w:sz="2" w:space="0" w:color="000000"/>
              <w:bottom w:val="single" w:sz="2" w:space="0" w:color="000000"/>
              <w:right w:val="single" w:sz="2" w:space="0" w:color="000000"/>
            </w:tcBorders>
            <w:vAlign w:val="center"/>
          </w:tcPr>
          <w:p w14:paraId="7D080B57" w14:textId="77777777" w:rsidR="0029293C" w:rsidRPr="005C605A" w:rsidRDefault="0029293C" w:rsidP="0029293C">
            <w:pPr>
              <w:jc w:val="right"/>
              <w:rPr>
                <w:rFonts w:cs="Arial"/>
                <w:bCs/>
                <w:sz w:val="16"/>
                <w:szCs w:val="16"/>
              </w:rPr>
            </w:pPr>
            <w:r w:rsidRPr="005C605A">
              <w:rPr>
                <w:rFonts w:cs="Arial"/>
                <w:bCs/>
                <w:sz w:val="16"/>
                <w:szCs w:val="16"/>
              </w:rPr>
              <w:t>454,2</w:t>
            </w:r>
          </w:p>
        </w:tc>
      </w:tr>
      <w:tr w:rsidR="0029293C" w:rsidRPr="00293EA1" w14:paraId="0A97F2DE"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32FCA76"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Λοιπές υπηρεσίες</w:t>
            </w:r>
          </w:p>
        </w:tc>
        <w:tc>
          <w:tcPr>
            <w:tcW w:w="518"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B76CEC1"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25.760</w:t>
            </w:r>
          </w:p>
        </w:tc>
        <w:tc>
          <w:tcPr>
            <w:tcW w:w="524"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17E6C3AB"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24.856</w:t>
            </w:r>
          </w:p>
        </w:tc>
        <w:tc>
          <w:tcPr>
            <w:tcW w:w="37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AED2CD9" w14:textId="77777777" w:rsidR="0029293C" w:rsidRPr="005C605A" w:rsidRDefault="0029293C" w:rsidP="0029293C">
            <w:pPr>
              <w:jc w:val="right"/>
              <w:rPr>
                <w:rFonts w:cs="Arial"/>
                <w:bCs/>
                <w:sz w:val="16"/>
                <w:szCs w:val="16"/>
              </w:rPr>
            </w:pPr>
            <w:r w:rsidRPr="005C605A">
              <w:rPr>
                <w:rFonts w:cs="Arial"/>
                <w:bCs/>
                <w:sz w:val="16"/>
                <w:szCs w:val="16"/>
              </w:rPr>
              <w:t>3,6</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47DE3D60"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14.549</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3E55CB9"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13.877</w:t>
            </w:r>
          </w:p>
        </w:tc>
        <w:tc>
          <w:tcPr>
            <w:tcW w:w="383"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122FEAD" w14:textId="77777777" w:rsidR="0029293C" w:rsidRPr="005C605A" w:rsidRDefault="0029293C" w:rsidP="0029293C">
            <w:pPr>
              <w:jc w:val="right"/>
              <w:rPr>
                <w:rFonts w:cs="Arial"/>
                <w:bCs/>
                <w:sz w:val="16"/>
                <w:szCs w:val="16"/>
              </w:rPr>
            </w:pPr>
            <w:r w:rsidRPr="005C605A">
              <w:rPr>
                <w:rFonts w:cs="Arial"/>
                <w:bCs/>
                <w:sz w:val="16"/>
                <w:szCs w:val="16"/>
              </w:rPr>
              <w:t>4,8</w:t>
            </w:r>
          </w:p>
        </w:tc>
        <w:tc>
          <w:tcPr>
            <w:tcW w:w="43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690E1AE"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866</w:t>
            </w:r>
          </w:p>
        </w:tc>
        <w:tc>
          <w:tcPr>
            <w:tcW w:w="447"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F2E97D7" w14:textId="77777777" w:rsidR="0029293C" w:rsidRPr="005C605A" w:rsidRDefault="0029293C" w:rsidP="0029293C">
            <w:pPr>
              <w:autoSpaceDE w:val="0"/>
              <w:autoSpaceDN w:val="0"/>
              <w:adjustRightInd w:val="0"/>
              <w:jc w:val="right"/>
              <w:rPr>
                <w:rFonts w:cs="Verdana"/>
                <w:color w:val="000000"/>
                <w:sz w:val="16"/>
                <w:szCs w:val="16"/>
              </w:rPr>
            </w:pPr>
            <w:r w:rsidRPr="005C605A">
              <w:rPr>
                <w:rFonts w:cs="Verdana"/>
                <w:color w:val="000000"/>
                <w:sz w:val="16"/>
                <w:szCs w:val="16"/>
              </w:rPr>
              <w:t>578</w:t>
            </w:r>
          </w:p>
        </w:tc>
        <w:tc>
          <w:tcPr>
            <w:tcW w:w="422"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9841148" w14:textId="77777777" w:rsidR="0029293C" w:rsidRPr="005C605A" w:rsidRDefault="0029293C" w:rsidP="0029293C">
            <w:pPr>
              <w:jc w:val="right"/>
              <w:rPr>
                <w:rFonts w:cs="Arial"/>
                <w:bCs/>
                <w:sz w:val="16"/>
                <w:szCs w:val="16"/>
              </w:rPr>
            </w:pPr>
            <w:r w:rsidRPr="005C605A">
              <w:rPr>
                <w:rFonts w:cs="Arial"/>
                <w:bCs/>
                <w:sz w:val="16"/>
                <w:szCs w:val="16"/>
              </w:rPr>
              <w:t>49,7</w:t>
            </w:r>
          </w:p>
        </w:tc>
      </w:tr>
      <w:tr w:rsidR="0029293C" w:rsidRPr="00293EA1" w14:paraId="352DF801"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vAlign w:val="center"/>
          </w:tcPr>
          <w:p w14:paraId="024CDDDB" w14:textId="77777777" w:rsidR="0029293C" w:rsidRPr="00293EA1" w:rsidRDefault="0029293C" w:rsidP="0029293C">
            <w:pPr>
              <w:autoSpaceDE w:val="0"/>
              <w:autoSpaceDN w:val="0"/>
              <w:adjustRightInd w:val="0"/>
              <w:jc w:val="left"/>
              <w:rPr>
                <w:rFonts w:cs="Verdana"/>
                <w:b/>
                <w:bCs/>
                <w:sz w:val="15"/>
                <w:szCs w:val="15"/>
              </w:rPr>
            </w:pPr>
            <w:r w:rsidRPr="00293EA1">
              <w:rPr>
                <w:rFonts w:cs="Verdana"/>
                <w:b/>
                <w:bCs/>
                <w:sz w:val="15"/>
                <w:szCs w:val="15"/>
              </w:rPr>
              <w:t>Σύνολο</w:t>
            </w:r>
          </w:p>
        </w:tc>
        <w:tc>
          <w:tcPr>
            <w:tcW w:w="518" w:type="pct"/>
            <w:tcBorders>
              <w:top w:val="single" w:sz="2" w:space="0" w:color="000000"/>
              <w:left w:val="single" w:sz="2" w:space="0" w:color="000000"/>
              <w:bottom w:val="single" w:sz="2" w:space="0" w:color="000000"/>
              <w:right w:val="single" w:sz="2" w:space="0" w:color="000000"/>
            </w:tcBorders>
            <w:vAlign w:val="center"/>
          </w:tcPr>
          <w:p w14:paraId="59E7DEAB" w14:textId="77777777" w:rsidR="0029293C" w:rsidRPr="005C605A" w:rsidRDefault="0029293C" w:rsidP="0029293C">
            <w:pPr>
              <w:autoSpaceDE w:val="0"/>
              <w:autoSpaceDN w:val="0"/>
              <w:adjustRightInd w:val="0"/>
              <w:jc w:val="right"/>
              <w:rPr>
                <w:rFonts w:cs="Verdana"/>
                <w:b/>
                <w:color w:val="000000"/>
                <w:sz w:val="16"/>
                <w:szCs w:val="16"/>
              </w:rPr>
            </w:pPr>
            <w:r w:rsidRPr="005C605A">
              <w:rPr>
                <w:rFonts w:cs="Verdana"/>
                <w:b/>
                <w:color w:val="000000"/>
                <w:sz w:val="16"/>
                <w:szCs w:val="16"/>
              </w:rPr>
              <w:t>213.960</w:t>
            </w:r>
          </w:p>
        </w:tc>
        <w:tc>
          <w:tcPr>
            <w:tcW w:w="524" w:type="pct"/>
            <w:tcBorders>
              <w:top w:val="single" w:sz="2" w:space="0" w:color="000000"/>
              <w:left w:val="single" w:sz="2" w:space="0" w:color="000000"/>
              <w:bottom w:val="single" w:sz="2" w:space="0" w:color="000000"/>
              <w:right w:val="single" w:sz="2" w:space="0" w:color="000000"/>
            </w:tcBorders>
            <w:vAlign w:val="center"/>
          </w:tcPr>
          <w:p w14:paraId="2F56243C" w14:textId="77777777" w:rsidR="0029293C" w:rsidRPr="005C605A" w:rsidRDefault="0029293C" w:rsidP="0029293C">
            <w:pPr>
              <w:autoSpaceDE w:val="0"/>
              <w:autoSpaceDN w:val="0"/>
              <w:adjustRightInd w:val="0"/>
              <w:jc w:val="right"/>
              <w:rPr>
                <w:rFonts w:cs="Verdana"/>
                <w:b/>
                <w:color w:val="000000"/>
                <w:sz w:val="16"/>
                <w:szCs w:val="16"/>
              </w:rPr>
            </w:pPr>
            <w:r w:rsidRPr="005C605A">
              <w:rPr>
                <w:rFonts w:cs="Verdana"/>
                <w:b/>
                <w:color w:val="000000"/>
                <w:sz w:val="16"/>
                <w:szCs w:val="16"/>
              </w:rPr>
              <w:t>210.143</w:t>
            </w:r>
          </w:p>
        </w:tc>
        <w:tc>
          <w:tcPr>
            <w:tcW w:w="375" w:type="pct"/>
            <w:tcBorders>
              <w:top w:val="single" w:sz="2" w:space="0" w:color="000000"/>
              <w:left w:val="single" w:sz="2" w:space="0" w:color="000000"/>
              <w:bottom w:val="single" w:sz="2" w:space="0" w:color="000000"/>
              <w:right w:val="single" w:sz="2" w:space="0" w:color="000000"/>
            </w:tcBorders>
            <w:vAlign w:val="center"/>
          </w:tcPr>
          <w:p w14:paraId="16B8E1AC" w14:textId="77777777" w:rsidR="0029293C" w:rsidRPr="005C605A" w:rsidRDefault="0029293C" w:rsidP="0029293C">
            <w:pPr>
              <w:jc w:val="right"/>
              <w:rPr>
                <w:rFonts w:cs="Arial"/>
                <w:b/>
                <w:bCs/>
                <w:sz w:val="16"/>
                <w:szCs w:val="16"/>
              </w:rPr>
            </w:pPr>
            <w:r w:rsidRPr="005C605A">
              <w:rPr>
                <w:rFonts w:cs="Arial"/>
                <w:b/>
                <w:bCs/>
                <w:sz w:val="16"/>
                <w:szCs w:val="16"/>
              </w:rPr>
              <w:t>1,8</w:t>
            </w:r>
          </w:p>
        </w:tc>
        <w:tc>
          <w:tcPr>
            <w:tcW w:w="489" w:type="pct"/>
            <w:tcBorders>
              <w:top w:val="single" w:sz="2" w:space="0" w:color="000000"/>
              <w:left w:val="single" w:sz="2" w:space="0" w:color="000000"/>
              <w:bottom w:val="single" w:sz="2" w:space="0" w:color="000000"/>
              <w:right w:val="single" w:sz="2" w:space="0" w:color="000000"/>
            </w:tcBorders>
            <w:vAlign w:val="center"/>
          </w:tcPr>
          <w:p w14:paraId="4DB64F16" w14:textId="77777777" w:rsidR="0029293C" w:rsidRPr="005C605A" w:rsidRDefault="0029293C" w:rsidP="0029293C">
            <w:pPr>
              <w:autoSpaceDE w:val="0"/>
              <w:autoSpaceDN w:val="0"/>
              <w:adjustRightInd w:val="0"/>
              <w:jc w:val="right"/>
              <w:rPr>
                <w:rFonts w:cs="Verdana"/>
                <w:b/>
                <w:color w:val="000000"/>
                <w:sz w:val="16"/>
                <w:szCs w:val="16"/>
              </w:rPr>
            </w:pPr>
            <w:r w:rsidRPr="005C605A">
              <w:rPr>
                <w:rFonts w:cs="Verdana"/>
                <w:b/>
                <w:color w:val="000000"/>
                <w:sz w:val="16"/>
                <w:szCs w:val="16"/>
              </w:rPr>
              <w:t>154.558</w:t>
            </w:r>
          </w:p>
        </w:tc>
        <w:tc>
          <w:tcPr>
            <w:tcW w:w="489" w:type="pct"/>
            <w:tcBorders>
              <w:top w:val="single" w:sz="2" w:space="0" w:color="000000"/>
              <w:left w:val="single" w:sz="2" w:space="0" w:color="000000"/>
              <w:bottom w:val="single" w:sz="2" w:space="0" w:color="000000"/>
              <w:right w:val="single" w:sz="2" w:space="0" w:color="000000"/>
            </w:tcBorders>
            <w:vAlign w:val="center"/>
          </w:tcPr>
          <w:p w14:paraId="6604E365" w14:textId="77777777" w:rsidR="0029293C" w:rsidRPr="005C605A" w:rsidRDefault="0029293C" w:rsidP="0029293C">
            <w:pPr>
              <w:autoSpaceDE w:val="0"/>
              <w:autoSpaceDN w:val="0"/>
              <w:adjustRightInd w:val="0"/>
              <w:jc w:val="right"/>
              <w:rPr>
                <w:rFonts w:cs="Verdana"/>
                <w:b/>
                <w:color w:val="000000"/>
                <w:sz w:val="16"/>
                <w:szCs w:val="16"/>
              </w:rPr>
            </w:pPr>
            <w:r w:rsidRPr="005C605A">
              <w:rPr>
                <w:rFonts w:cs="Verdana"/>
                <w:b/>
                <w:color w:val="000000"/>
                <w:sz w:val="16"/>
                <w:szCs w:val="16"/>
              </w:rPr>
              <w:t>140.789</w:t>
            </w:r>
          </w:p>
        </w:tc>
        <w:tc>
          <w:tcPr>
            <w:tcW w:w="383" w:type="pct"/>
            <w:tcBorders>
              <w:top w:val="single" w:sz="2" w:space="0" w:color="000000"/>
              <w:left w:val="single" w:sz="2" w:space="0" w:color="000000"/>
              <w:bottom w:val="single" w:sz="2" w:space="0" w:color="000000"/>
              <w:right w:val="single" w:sz="2" w:space="0" w:color="000000"/>
            </w:tcBorders>
            <w:vAlign w:val="center"/>
          </w:tcPr>
          <w:p w14:paraId="649482D0" w14:textId="77777777" w:rsidR="0029293C" w:rsidRPr="005C605A" w:rsidRDefault="0029293C" w:rsidP="0029293C">
            <w:pPr>
              <w:jc w:val="right"/>
              <w:rPr>
                <w:rFonts w:cs="Arial"/>
                <w:b/>
                <w:bCs/>
                <w:sz w:val="16"/>
                <w:szCs w:val="16"/>
              </w:rPr>
            </w:pPr>
            <w:r w:rsidRPr="005C605A">
              <w:rPr>
                <w:rFonts w:cs="Arial"/>
                <w:b/>
                <w:bCs/>
                <w:sz w:val="16"/>
                <w:szCs w:val="16"/>
              </w:rPr>
              <w:t>9,8</w:t>
            </w:r>
          </w:p>
        </w:tc>
        <w:tc>
          <w:tcPr>
            <w:tcW w:w="435" w:type="pct"/>
            <w:tcBorders>
              <w:top w:val="single" w:sz="2" w:space="0" w:color="000000"/>
              <w:left w:val="single" w:sz="2" w:space="0" w:color="000000"/>
              <w:bottom w:val="single" w:sz="2" w:space="0" w:color="000000"/>
              <w:right w:val="single" w:sz="2" w:space="0" w:color="000000"/>
            </w:tcBorders>
            <w:vAlign w:val="center"/>
          </w:tcPr>
          <w:p w14:paraId="306B5FB2" w14:textId="77777777" w:rsidR="0029293C" w:rsidRPr="005C605A" w:rsidRDefault="0029293C" w:rsidP="0029293C">
            <w:pPr>
              <w:autoSpaceDE w:val="0"/>
              <w:autoSpaceDN w:val="0"/>
              <w:adjustRightInd w:val="0"/>
              <w:jc w:val="right"/>
              <w:rPr>
                <w:rFonts w:cs="Verdana"/>
                <w:b/>
                <w:color w:val="000000"/>
                <w:sz w:val="16"/>
                <w:szCs w:val="16"/>
              </w:rPr>
            </w:pPr>
            <w:r w:rsidRPr="005C605A">
              <w:rPr>
                <w:rFonts w:cs="Verdana"/>
                <w:b/>
                <w:color w:val="000000"/>
                <w:sz w:val="16"/>
                <w:szCs w:val="16"/>
              </w:rPr>
              <w:t>6.187</w:t>
            </w:r>
          </w:p>
        </w:tc>
        <w:tc>
          <w:tcPr>
            <w:tcW w:w="447" w:type="pct"/>
            <w:tcBorders>
              <w:top w:val="single" w:sz="2" w:space="0" w:color="000000"/>
              <w:left w:val="single" w:sz="2" w:space="0" w:color="000000"/>
              <w:bottom w:val="single" w:sz="2" w:space="0" w:color="000000"/>
              <w:right w:val="single" w:sz="2" w:space="0" w:color="000000"/>
            </w:tcBorders>
            <w:vAlign w:val="center"/>
          </w:tcPr>
          <w:p w14:paraId="22430C5A" w14:textId="77777777" w:rsidR="0029293C" w:rsidRPr="005C605A" w:rsidRDefault="0029293C" w:rsidP="0029293C">
            <w:pPr>
              <w:autoSpaceDE w:val="0"/>
              <w:autoSpaceDN w:val="0"/>
              <w:adjustRightInd w:val="0"/>
              <w:jc w:val="right"/>
              <w:rPr>
                <w:rFonts w:cs="Verdana"/>
                <w:b/>
                <w:color w:val="000000"/>
                <w:sz w:val="16"/>
                <w:szCs w:val="16"/>
              </w:rPr>
            </w:pPr>
            <w:r w:rsidRPr="005C605A">
              <w:rPr>
                <w:rFonts w:cs="Verdana"/>
                <w:b/>
                <w:color w:val="000000"/>
                <w:sz w:val="16"/>
                <w:szCs w:val="16"/>
              </w:rPr>
              <w:t>5.043</w:t>
            </w:r>
          </w:p>
        </w:tc>
        <w:tc>
          <w:tcPr>
            <w:tcW w:w="422" w:type="pct"/>
            <w:tcBorders>
              <w:top w:val="single" w:sz="2" w:space="0" w:color="000000"/>
              <w:left w:val="single" w:sz="2" w:space="0" w:color="000000"/>
              <w:bottom w:val="single" w:sz="2" w:space="0" w:color="000000"/>
              <w:right w:val="single" w:sz="2" w:space="0" w:color="000000"/>
            </w:tcBorders>
            <w:vAlign w:val="center"/>
          </w:tcPr>
          <w:p w14:paraId="013DA6A0" w14:textId="77777777" w:rsidR="0029293C" w:rsidRPr="005C605A" w:rsidRDefault="0029293C" w:rsidP="0029293C">
            <w:pPr>
              <w:jc w:val="right"/>
              <w:rPr>
                <w:rFonts w:cs="Arial"/>
                <w:b/>
                <w:bCs/>
                <w:sz w:val="16"/>
                <w:szCs w:val="16"/>
              </w:rPr>
            </w:pPr>
            <w:r w:rsidRPr="005C605A">
              <w:rPr>
                <w:rFonts w:cs="Arial"/>
                <w:b/>
                <w:bCs/>
                <w:sz w:val="16"/>
                <w:szCs w:val="16"/>
              </w:rPr>
              <w:t>22,7</w:t>
            </w:r>
          </w:p>
        </w:tc>
      </w:tr>
      <w:tr w:rsidR="00293EA1" w:rsidRPr="00293EA1" w14:paraId="1661FB8A" w14:textId="77777777" w:rsidTr="0029293C">
        <w:trPr>
          <w:trHeight w:val="250"/>
        </w:trPr>
        <w:tc>
          <w:tcPr>
            <w:tcW w:w="5000" w:type="pct"/>
            <w:gridSpan w:val="10"/>
            <w:tcBorders>
              <w:top w:val="single" w:sz="2" w:space="0" w:color="000000"/>
              <w:left w:val="single" w:sz="2" w:space="0" w:color="000000"/>
              <w:bottom w:val="single" w:sz="2" w:space="0" w:color="000000"/>
              <w:right w:val="single" w:sz="2" w:space="0" w:color="000000"/>
            </w:tcBorders>
            <w:vAlign w:val="center"/>
          </w:tcPr>
          <w:p w14:paraId="3F901AD4" w14:textId="77777777" w:rsidR="0035482F" w:rsidRPr="00293EA1" w:rsidRDefault="0035482F" w:rsidP="0035482F">
            <w:pPr>
              <w:autoSpaceDE w:val="0"/>
              <w:autoSpaceDN w:val="0"/>
              <w:adjustRightInd w:val="0"/>
              <w:jc w:val="center"/>
              <w:rPr>
                <w:rFonts w:cs="Verdana"/>
                <w:b/>
                <w:bCs/>
                <w:sz w:val="15"/>
                <w:szCs w:val="15"/>
              </w:rPr>
            </w:pPr>
            <w:r w:rsidRPr="00293EA1">
              <w:rPr>
                <w:rFonts w:cs="Verdana"/>
                <w:b/>
                <w:bCs/>
                <w:sz w:val="15"/>
                <w:szCs w:val="15"/>
              </w:rPr>
              <w:t>Χρηματοπιστωτικός τομέας</w:t>
            </w:r>
          </w:p>
        </w:tc>
      </w:tr>
      <w:tr w:rsidR="0029293C" w:rsidRPr="00293EA1" w14:paraId="7B7D81BD"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47FBA810"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Τράπεζες</w:t>
            </w:r>
          </w:p>
        </w:tc>
        <w:tc>
          <w:tcPr>
            <w:tcW w:w="518"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1C6B39DE"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233.292</w:t>
            </w:r>
          </w:p>
        </w:tc>
        <w:tc>
          <w:tcPr>
            <w:tcW w:w="524"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5897BB22"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238.025</w:t>
            </w:r>
          </w:p>
        </w:tc>
        <w:tc>
          <w:tcPr>
            <w:tcW w:w="37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4FF2FE1D"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-2,0</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80B748E"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7.224</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A833325"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8.192</w:t>
            </w:r>
          </w:p>
        </w:tc>
        <w:tc>
          <w:tcPr>
            <w:tcW w:w="383"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64DD7D4"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-11,8</w:t>
            </w:r>
          </w:p>
        </w:tc>
        <w:tc>
          <w:tcPr>
            <w:tcW w:w="43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35D9B22"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-364</w:t>
            </w:r>
          </w:p>
        </w:tc>
        <w:tc>
          <w:tcPr>
            <w:tcW w:w="447"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9154D40"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-1.088</w:t>
            </w:r>
          </w:p>
        </w:tc>
        <w:tc>
          <w:tcPr>
            <w:tcW w:w="422"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14191A6"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66,6</w:t>
            </w:r>
          </w:p>
        </w:tc>
      </w:tr>
      <w:tr w:rsidR="0029293C" w:rsidRPr="00293EA1" w14:paraId="26F917F1"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vAlign w:val="center"/>
          </w:tcPr>
          <w:p w14:paraId="18E73A5B"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Ασφάλειες</w:t>
            </w:r>
          </w:p>
        </w:tc>
        <w:tc>
          <w:tcPr>
            <w:tcW w:w="518" w:type="pct"/>
            <w:tcBorders>
              <w:top w:val="single" w:sz="2" w:space="0" w:color="000000"/>
              <w:left w:val="single" w:sz="2" w:space="0" w:color="000000"/>
              <w:bottom w:val="single" w:sz="2" w:space="0" w:color="000000"/>
              <w:right w:val="single" w:sz="2" w:space="0" w:color="000000"/>
            </w:tcBorders>
            <w:vAlign w:val="center"/>
          </w:tcPr>
          <w:p w14:paraId="79B670EC"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17.062</w:t>
            </w:r>
          </w:p>
        </w:tc>
        <w:tc>
          <w:tcPr>
            <w:tcW w:w="524" w:type="pct"/>
            <w:tcBorders>
              <w:top w:val="single" w:sz="2" w:space="0" w:color="000000"/>
              <w:left w:val="single" w:sz="2" w:space="0" w:color="000000"/>
              <w:bottom w:val="single" w:sz="2" w:space="0" w:color="000000"/>
              <w:right w:val="single" w:sz="2" w:space="0" w:color="000000"/>
            </w:tcBorders>
            <w:vAlign w:val="center"/>
          </w:tcPr>
          <w:p w14:paraId="671712F4"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16.391</w:t>
            </w:r>
          </w:p>
        </w:tc>
        <w:tc>
          <w:tcPr>
            <w:tcW w:w="375" w:type="pct"/>
            <w:tcBorders>
              <w:top w:val="single" w:sz="2" w:space="0" w:color="000000"/>
              <w:left w:val="single" w:sz="2" w:space="0" w:color="000000"/>
              <w:bottom w:val="single" w:sz="2" w:space="0" w:color="000000"/>
              <w:right w:val="single" w:sz="2" w:space="0" w:color="000000"/>
            </w:tcBorders>
            <w:vAlign w:val="center"/>
          </w:tcPr>
          <w:p w14:paraId="7B3F1957"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4,1</w:t>
            </w:r>
          </w:p>
        </w:tc>
        <w:tc>
          <w:tcPr>
            <w:tcW w:w="489" w:type="pct"/>
            <w:tcBorders>
              <w:top w:val="single" w:sz="2" w:space="0" w:color="000000"/>
              <w:left w:val="single" w:sz="2" w:space="0" w:color="000000"/>
              <w:bottom w:val="single" w:sz="2" w:space="0" w:color="000000"/>
              <w:right w:val="single" w:sz="2" w:space="0" w:color="000000"/>
            </w:tcBorders>
            <w:vAlign w:val="center"/>
          </w:tcPr>
          <w:p w14:paraId="3EBC24BA"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3.368</w:t>
            </w:r>
          </w:p>
        </w:tc>
        <w:tc>
          <w:tcPr>
            <w:tcW w:w="489" w:type="pct"/>
            <w:tcBorders>
              <w:top w:val="single" w:sz="2" w:space="0" w:color="000000"/>
              <w:left w:val="single" w:sz="2" w:space="0" w:color="000000"/>
              <w:bottom w:val="single" w:sz="2" w:space="0" w:color="000000"/>
              <w:right w:val="single" w:sz="2" w:space="0" w:color="000000"/>
            </w:tcBorders>
            <w:vAlign w:val="center"/>
          </w:tcPr>
          <w:p w14:paraId="52D9D2CE"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3.182</w:t>
            </w:r>
          </w:p>
        </w:tc>
        <w:tc>
          <w:tcPr>
            <w:tcW w:w="383" w:type="pct"/>
            <w:tcBorders>
              <w:top w:val="single" w:sz="2" w:space="0" w:color="000000"/>
              <w:left w:val="single" w:sz="2" w:space="0" w:color="000000"/>
              <w:bottom w:val="single" w:sz="2" w:space="0" w:color="000000"/>
              <w:right w:val="single" w:sz="2" w:space="0" w:color="000000"/>
            </w:tcBorders>
            <w:vAlign w:val="center"/>
          </w:tcPr>
          <w:p w14:paraId="0978FD82"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5,9</w:t>
            </w:r>
          </w:p>
        </w:tc>
        <w:tc>
          <w:tcPr>
            <w:tcW w:w="435" w:type="pct"/>
            <w:tcBorders>
              <w:top w:val="single" w:sz="2" w:space="0" w:color="000000"/>
              <w:left w:val="single" w:sz="2" w:space="0" w:color="000000"/>
              <w:bottom w:val="single" w:sz="2" w:space="0" w:color="000000"/>
              <w:right w:val="single" w:sz="2" w:space="0" w:color="000000"/>
            </w:tcBorders>
            <w:vAlign w:val="center"/>
          </w:tcPr>
          <w:p w14:paraId="01A22172"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445</w:t>
            </w:r>
          </w:p>
        </w:tc>
        <w:tc>
          <w:tcPr>
            <w:tcW w:w="447" w:type="pct"/>
            <w:tcBorders>
              <w:top w:val="single" w:sz="2" w:space="0" w:color="000000"/>
              <w:left w:val="single" w:sz="2" w:space="0" w:color="000000"/>
              <w:bottom w:val="single" w:sz="2" w:space="0" w:color="000000"/>
              <w:right w:val="single" w:sz="2" w:space="0" w:color="000000"/>
            </w:tcBorders>
            <w:vAlign w:val="center"/>
          </w:tcPr>
          <w:p w14:paraId="43E9D540"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411</w:t>
            </w:r>
          </w:p>
        </w:tc>
        <w:tc>
          <w:tcPr>
            <w:tcW w:w="422" w:type="pct"/>
            <w:tcBorders>
              <w:top w:val="single" w:sz="2" w:space="0" w:color="000000"/>
              <w:left w:val="single" w:sz="2" w:space="0" w:color="000000"/>
              <w:bottom w:val="single" w:sz="2" w:space="0" w:color="000000"/>
              <w:right w:val="single" w:sz="2" w:space="0" w:color="000000"/>
            </w:tcBorders>
            <w:vAlign w:val="center"/>
          </w:tcPr>
          <w:p w14:paraId="7CA6D2FC"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8,2</w:t>
            </w:r>
          </w:p>
        </w:tc>
      </w:tr>
      <w:tr w:rsidR="0029293C" w:rsidRPr="00293EA1" w14:paraId="264D4AFF"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D183EE9" w14:textId="77777777" w:rsidR="0029293C" w:rsidRPr="00293EA1" w:rsidRDefault="0029293C" w:rsidP="0029293C">
            <w:pPr>
              <w:autoSpaceDE w:val="0"/>
              <w:autoSpaceDN w:val="0"/>
              <w:adjustRightInd w:val="0"/>
              <w:jc w:val="left"/>
              <w:rPr>
                <w:rFonts w:cs="Verdana"/>
                <w:sz w:val="15"/>
                <w:szCs w:val="15"/>
              </w:rPr>
            </w:pPr>
            <w:r w:rsidRPr="00293EA1">
              <w:rPr>
                <w:rFonts w:cs="Verdana"/>
                <w:sz w:val="15"/>
                <w:szCs w:val="15"/>
              </w:rPr>
              <w:t xml:space="preserve">Λοιπές </w:t>
            </w:r>
            <w:proofErr w:type="spellStart"/>
            <w:r w:rsidRPr="00293EA1">
              <w:rPr>
                <w:rFonts w:cs="Verdana"/>
                <w:sz w:val="15"/>
                <w:szCs w:val="15"/>
              </w:rPr>
              <w:t>χρημ</w:t>
            </w:r>
            <w:proofErr w:type="spellEnd"/>
            <w:r w:rsidRPr="00293EA1">
              <w:rPr>
                <w:rFonts w:cs="Verdana"/>
                <w:sz w:val="15"/>
                <w:szCs w:val="15"/>
              </w:rPr>
              <w:t>/</w:t>
            </w:r>
            <w:proofErr w:type="spellStart"/>
            <w:r w:rsidRPr="00293EA1">
              <w:rPr>
                <w:rFonts w:cs="Verdana"/>
                <w:sz w:val="15"/>
                <w:szCs w:val="15"/>
              </w:rPr>
              <w:t>τικές</w:t>
            </w:r>
            <w:proofErr w:type="spellEnd"/>
          </w:p>
        </w:tc>
        <w:tc>
          <w:tcPr>
            <w:tcW w:w="518"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632399F"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14.910</w:t>
            </w:r>
          </w:p>
        </w:tc>
        <w:tc>
          <w:tcPr>
            <w:tcW w:w="524"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FD985D1"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15.252</w:t>
            </w:r>
          </w:p>
        </w:tc>
        <w:tc>
          <w:tcPr>
            <w:tcW w:w="37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46EF82D5"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-2,2</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D7B1266"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627</w:t>
            </w: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57DB7E9"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611</w:t>
            </w:r>
          </w:p>
        </w:tc>
        <w:tc>
          <w:tcPr>
            <w:tcW w:w="383"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3052C00"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2,6</w:t>
            </w:r>
          </w:p>
        </w:tc>
        <w:tc>
          <w:tcPr>
            <w:tcW w:w="43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5875EB58"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-103</w:t>
            </w:r>
          </w:p>
        </w:tc>
        <w:tc>
          <w:tcPr>
            <w:tcW w:w="447"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ED265A9" w14:textId="77777777" w:rsidR="0029293C" w:rsidRPr="00E410EA" w:rsidRDefault="0029293C" w:rsidP="0029293C">
            <w:pPr>
              <w:autoSpaceDE w:val="0"/>
              <w:autoSpaceDN w:val="0"/>
              <w:adjustRightInd w:val="0"/>
              <w:jc w:val="right"/>
              <w:rPr>
                <w:rFonts w:cs="Verdana"/>
                <w:color w:val="000000"/>
                <w:sz w:val="16"/>
                <w:szCs w:val="16"/>
              </w:rPr>
            </w:pPr>
            <w:r w:rsidRPr="00E410EA">
              <w:rPr>
                <w:rFonts w:cs="Verdana"/>
                <w:color w:val="000000"/>
                <w:sz w:val="16"/>
                <w:szCs w:val="16"/>
              </w:rPr>
              <w:t>408</w:t>
            </w:r>
          </w:p>
        </w:tc>
        <w:tc>
          <w:tcPr>
            <w:tcW w:w="422"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892E44E" w14:textId="77777777" w:rsidR="0029293C" w:rsidRPr="00E410EA" w:rsidRDefault="0029293C" w:rsidP="0029293C">
            <w:pPr>
              <w:autoSpaceDE w:val="0"/>
              <w:autoSpaceDN w:val="0"/>
              <w:adjustRightInd w:val="0"/>
              <w:jc w:val="right"/>
              <w:rPr>
                <w:rFonts w:cs="Verdana"/>
                <w:color w:val="000000"/>
                <w:sz w:val="16"/>
                <w:szCs w:val="16"/>
                <w:lang w:val="en-US"/>
              </w:rPr>
            </w:pPr>
            <w:r w:rsidRPr="00E410EA">
              <w:rPr>
                <w:rFonts w:cs="Verdana"/>
                <w:color w:val="000000"/>
                <w:sz w:val="16"/>
                <w:szCs w:val="16"/>
                <w:lang w:val="en-US"/>
              </w:rPr>
              <w:t>-125,2</w:t>
            </w:r>
          </w:p>
        </w:tc>
      </w:tr>
      <w:tr w:rsidR="0029293C" w:rsidRPr="00293EA1" w14:paraId="63D86EBE"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vAlign w:val="center"/>
          </w:tcPr>
          <w:p w14:paraId="7E42D720" w14:textId="77777777" w:rsidR="0029293C" w:rsidRPr="00293EA1" w:rsidRDefault="0029293C" w:rsidP="0029293C">
            <w:pPr>
              <w:autoSpaceDE w:val="0"/>
              <w:autoSpaceDN w:val="0"/>
              <w:adjustRightInd w:val="0"/>
              <w:jc w:val="left"/>
              <w:rPr>
                <w:rFonts w:cs="Verdana"/>
                <w:b/>
                <w:bCs/>
                <w:sz w:val="15"/>
                <w:szCs w:val="15"/>
              </w:rPr>
            </w:pPr>
            <w:r w:rsidRPr="00293EA1">
              <w:rPr>
                <w:rFonts w:cs="Verdana"/>
                <w:b/>
                <w:bCs/>
                <w:sz w:val="15"/>
                <w:szCs w:val="15"/>
              </w:rPr>
              <w:t>Σύνολο</w:t>
            </w:r>
          </w:p>
        </w:tc>
        <w:tc>
          <w:tcPr>
            <w:tcW w:w="518" w:type="pct"/>
            <w:tcBorders>
              <w:top w:val="single" w:sz="2" w:space="0" w:color="000000"/>
              <w:left w:val="single" w:sz="2" w:space="0" w:color="000000"/>
              <w:bottom w:val="single" w:sz="2" w:space="0" w:color="000000"/>
              <w:right w:val="single" w:sz="2" w:space="0" w:color="000000"/>
            </w:tcBorders>
            <w:vAlign w:val="center"/>
          </w:tcPr>
          <w:p w14:paraId="6543D332"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265.264</w:t>
            </w:r>
          </w:p>
        </w:tc>
        <w:tc>
          <w:tcPr>
            <w:tcW w:w="524" w:type="pct"/>
            <w:tcBorders>
              <w:top w:val="single" w:sz="2" w:space="0" w:color="000000"/>
              <w:left w:val="single" w:sz="2" w:space="0" w:color="000000"/>
              <w:bottom w:val="single" w:sz="2" w:space="0" w:color="000000"/>
              <w:right w:val="single" w:sz="2" w:space="0" w:color="000000"/>
            </w:tcBorders>
            <w:vAlign w:val="center"/>
          </w:tcPr>
          <w:p w14:paraId="760A06A5"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269.668</w:t>
            </w:r>
          </w:p>
        </w:tc>
        <w:tc>
          <w:tcPr>
            <w:tcW w:w="375" w:type="pct"/>
            <w:tcBorders>
              <w:top w:val="single" w:sz="2" w:space="0" w:color="000000"/>
              <w:left w:val="single" w:sz="2" w:space="0" w:color="000000"/>
              <w:bottom w:val="single" w:sz="2" w:space="0" w:color="000000"/>
              <w:right w:val="single" w:sz="2" w:space="0" w:color="000000"/>
            </w:tcBorders>
            <w:vAlign w:val="center"/>
          </w:tcPr>
          <w:p w14:paraId="79ADCDD7" w14:textId="77777777" w:rsidR="0029293C" w:rsidRPr="00E12E54" w:rsidRDefault="0029293C" w:rsidP="0029293C">
            <w:pPr>
              <w:autoSpaceDE w:val="0"/>
              <w:autoSpaceDN w:val="0"/>
              <w:adjustRightInd w:val="0"/>
              <w:jc w:val="right"/>
              <w:rPr>
                <w:rFonts w:cs="Verdana"/>
                <w:b/>
                <w:bCs/>
                <w:color w:val="000000"/>
                <w:sz w:val="16"/>
                <w:szCs w:val="16"/>
                <w:lang w:val="en-US"/>
              </w:rPr>
            </w:pPr>
            <w:r>
              <w:rPr>
                <w:rFonts w:cs="Verdana"/>
                <w:b/>
                <w:bCs/>
                <w:color w:val="000000"/>
                <w:sz w:val="16"/>
                <w:szCs w:val="16"/>
                <w:lang w:val="en-US"/>
              </w:rPr>
              <w:t>-1,6</w:t>
            </w:r>
          </w:p>
        </w:tc>
        <w:tc>
          <w:tcPr>
            <w:tcW w:w="489" w:type="pct"/>
            <w:tcBorders>
              <w:top w:val="single" w:sz="2" w:space="0" w:color="000000"/>
              <w:left w:val="single" w:sz="2" w:space="0" w:color="000000"/>
              <w:bottom w:val="single" w:sz="2" w:space="0" w:color="000000"/>
              <w:right w:val="single" w:sz="2" w:space="0" w:color="000000"/>
            </w:tcBorders>
            <w:vAlign w:val="center"/>
          </w:tcPr>
          <w:p w14:paraId="1BBEB282"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11.219</w:t>
            </w:r>
          </w:p>
        </w:tc>
        <w:tc>
          <w:tcPr>
            <w:tcW w:w="489" w:type="pct"/>
            <w:tcBorders>
              <w:top w:val="single" w:sz="2" w:space="0" w:color="000000"/>
              <w:left w:val="single" w:sz="2" w:space="0" w:color="000000"/>
              <w:bottom w:val="single" w:sz="2" w:space="0" w:color="000000"/>
              <w:right w:val="single" w:sz="2" w:space="0" w:color="000000"/>
            </w:tcBorders>
            <w:vAlign w:val="center"/>
          </w:tcPr>
          <w:p w14:paraId="7DD2F360"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11.985</w:t>
            </w:r>
          </w:p>
        </w:tc>
        <w:tc>
          <w:tcPr>
            <w:tcW w:w="383" w:type="pct"/>
            <w:tcBorders>
              <w:top w:val="single" w:sz="2" w:space="0" w:color="000000"/>
              <w:left w:val="single" w:sz="2" w:space="0" w:color="000000"/>
              <w:bottom w:val="single" w:sz="2" w:space="0" w:color="000000"/>
              <w:right w:val="single" w:sz="2" w:space="0" w:color="000000"/>
            </w:tcBorders>
            <w:vAlign w:val="center"/>
          </w:tcPr>
          <w:p w14:paraId="20CF9506"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-6,4</w:t>
            </w:r>
          </w:p>
        </w:tc>
        <w:tc>
          <w:tcPr>
            <w:tcW w:w="435" w:type="pct"/>
            <w:tcBorders>
              <w:top w:val="single" w:sz="2" w:space="0" w:color="000000"/>
              <w:left w:val="single" w:sz="2" w:space="0" w:color="000000"/>
              <w:bottom w:val="single" w:sz="2" w:space="0" w:color="000000"/>
              <w:right w:val="single" w:sz="2" w:space="0" w:color="000000"/>
            </w:tcBorders>
            <w:vAlign w:val="center"/>
          </w:tcPr>
          <w:p w14:paraId="5694D76D"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-22</w:t>
            </w:r>
          </w:p>
        </w:tc>
        <w:tc>
          <w:tcPr>
            <w:tcW w:w="447" w:type="pct"/>
            <w:tcBorders>
              <w:top w:val="single" w:sz="2" w:space="0" w:color="000000"/>
              <w:left w:val="single" w:sz="2" w:space="0" w:color="000000"/>
              <w:bottom w:val="single" w:sz="2" w:space="0" w:color="000000"/>
              <w:right w:val="single" w:sz="2" w:space="0" w:color="000000"/>
            </w:tcBorders>
            <w:vAlign w:val="center"/>
          </w:tcPr>
          <w:p w14:paraId="27195F0B"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-269</w:t>
            </w:r>
          </w:p>
        </w:tc>
        <w:tc>
          <w:tcPr>
            <w:tcW w:w="422" w:type="pct"/>
            <w:tcBorders>
              <w:top w:val="single" w:sz="2" w:space="0" w:color="000000"/>
              <w:left w:val="single" w:sz="2" w:space="0" w:color="000000"/>
              <w:bottom w:val="single" w:sz="2" w:space="0" w:color="000000"/>
              <w:right w:val="single" w:sz="2" w:space="0" w:color="000000"/>
            </w:tcBorders>
            <w:vAlign w:val="center"/>
          </w:tcPr>
          <w:p w14:paraId="135FF8CC"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91,8</w:t>
            </w:r>
          </w:p>
        </w:tc>
      </w:tr>
      <w:tr w:rsidR="0029293C" w:rsidRPr="00293EA1" w14:paraId="36CB3313"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011D578D" w14:textId="77777777" w:rsidR="0029293C" w:rsidRPr="00293EA1" w:rsidRDefault="0029293C" w:rsidP="0029293C">
            <w:pPr>
              <w:autoSpaceDE w:val="0"/>
              <w:autoSpaceDN w:val="0"/>
              <w:adjustRightInd w:val="0"/>
              <w:jc w:val="left"/>
              <w:rPr>
                <w:rFonts w:cs="Verdana"/>
                <w:sz w:val="15"/>
                <w:szCs w:val="15"/>
              </w:rPr>
            </w:pPr>
          </w:p>
        </w:tc>
        <w:tc>
          <w:tcPr>
            <w:tcW w:w="518"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5DB47E9C" w14:textId="77777777" w:rsidR="0029293C" w:rsidRDefault="0029293C" w:rsidP="0029293C">
            <w:pPr>
              <w:autoSpaceDE w:val="0"/>
              <w:autoSpaceDN w:val="0"/>
              <w:adjustRightInd w:val="0"/>
              <w:jc w:val="right"/>
              <w:rPr>
                <w:rFonts w:cs="Verdana"/>
                <w:color w:val="000000"/>
                <w:sz w:val="16"/>
                <w:szCs w:val="16"/>
              </w:rPr>
            </w:pPr>
          </w:p>
        </w:tc>
        <w:tc>
          <w:tcPr>
            <w:tcW w:w="524"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7069FDF6" w14:textId="77777777" w:rsidR="0029293C" w:rsidRDefault="0029293C" w:rsidP="0029293C">
            <w:pPr>
              <w:autoSpaceDE w:val="0"/>
              <w:autoSpaceDN w:val="0"/>
              <w:adjustRightInd w:val="0"/>
              <w:jc w:val="right"/>
              <w:rPr>
                <w:rFonts w:cs="Verdana"/>
                <w:color w:val="000000"/>
                <w:sz w:val="16"/>
                <w:szCs w:val="16"/>
              </w:rPr>
            </w:pPr>
          </w:p>
        </w:tc>
        <w:tc>
          <w:tcPr>
            <w:tcW w:w="37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D40C320" w14:textId="77777777" w:rsidR="0029293C" w:rsidRDefault="0029293C" w:rsidP="0029293C">
            <w:pPr>
              <w:autoSpaceDE w:val="0"/>
              <w:autoSpaceDN w:val="0"/>
              <w:adjustRightInd w:val="0"/>
              <w:jc w:val="right"/>
              <w:rPr>
                <w:rFonts w:cs="Verdana"/>
                <w:color w:val="000000"/>
                <w:sz w:val="16"/>
                <w:szCs w:val="16"/>
              </w:rPr>
            </w:pP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88A66BD" w14:textId="77777777" w:rsidR="0029293C" w:rsidRDefault="0029293C" w:rsidP="0029293C">
            <w:pPr>
              <w:autoSpaceDE w:val="0"/>
              <w:autoSpaceDN w:val="0"/>
              <w:adjustRightInd w:val="0"/>
              <w:jc w:val="right"/>
              <w:rPr>
                <w:rFonts w:cs="Verdana"/>
                <w:color w:val="000000"/>
                <w:sz w:val="16"/>
                <w:szCs w:val="16"/>
              </w:rPr>
            </w:pPr>
          </w:p>
        </w:tc>
        <w:tc>
          <w:tcPr>
            <w:tcW w:w="489"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0941868" w14:textId="77777777" w:rsidR="0029293C" w:rsidRDefault="0029293C" w:rsidP="0029293C">
            <w:pPr>
              <w:autoSpaceDE w:val="0"/>
              <w:autoSpaceDN w:val="0"/>
              <w:adjustRightInd w:val="0"/>
              <w:jc w:val="right"/>
              <w:rPr>
                <w:rFonts w:cs="Verdana"/>
                <w:color w:val="000000"/>
                <w:sz w:val="16"/>
                <w:szCs w:val="16"/>
              </w:rPr>
            </w:pPr>
          </w:p>
        </w:tc>
        <w:tc>
          <w:tcPr>
            <w:tcW w:w="383"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2C792D04" w14:textId="77777777" w:rsidR="0029293C" w:rsidRDefault="0029293C" w:rsidP="0029293C">
            <w:pPr>
              <w:autoSpaceDE w:val="0"/>
              <w:autoSpaceDN w:val="0"/>
              <w:adjustRightInd w:val="0"/>
              <w:jc w:val="right"/>
              <w:rPr>
                <w:rFonts w:cs="Verdana"/>
                <w:color w:val="000000"/>
                <w:sz w:val="16"/>
                <w:szCs w:val="16"/>
              </w:rPr>
            </w:pPr>
          </w:p>
        </w:tc>
        <w:tc>
          <w:tcPr>
            <w:tcW w:w="435"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3FC0C71F" w14:textId="77777777" w:rsidR="0029293C" w:rsidRDefault="0029293C" w:rsidP="0029293C">
            <w:pPr>
              <w:autoSpaceDE w:val="0"/>
              <w:autoSpaceDN w:val="0"/>
              <w:adjustRightInd w:val="0"/>
              <w:jc w:val="right"/>
              <w:rPr>
                <w:rFonts w:cs="Verdana"/>
                <w:color w:val="000000"/>
                <w:sz w:val="16"/>
                <w:szCs w:val="16"/>
              </w:rPr>
            </w:pPr>
          </w:p>
        </w:tc>
        <w:tc>
          <w:tcPr>
            <w:tcW w:w="447"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1A3D3D7" w14:textId="77777777" w:rsidR="0029293C" w:rsidRDefault="0029293C" w:rsidP="0029293C">
            <w:pPr>
              <w:autoSpaceDE w:val="0"/>
              <w:autoSpaceDN w:val="0"/>
              <w:adjustRightInd w:val="0"/>
              <w:jc w:val="right"/>
              <w:rPr>
                <w:rFonts w:cs="Verdana"/>
                <w:color w:val="000000"/>
                <w:sz w:val="16"/>
                <w:szCs w:val="16"/>
              </w:rPr>
            </w:pPr>
          </w:p>
        </w:tc>
        <w:tc>
          <w:tcPr>
            <w:tcW w:w="422" w:type="pct"/>
            <w:tcBorders>
              <w:top w:val="single" w:sz="2" w:space="0" w:color="000000"/>
              <w:left w:val="single" w:sz="2" w:space="0" w:color="000000"/>
              <w:bottom w:val="single" w:sz="2" w:space="0" w:color="000000"/>
              <w:right w:val="single" w:sz="2" w:space="0" w:color="000000"/>
            </w:tcBorders>
            <w:shd w:val="solid" w:color="C0C0C0" w:fill="auto"/>
            <w:vAlign w:val="center"/>
          </w:tcPr>
          <w:p w14:paraId="6502C84E" w14:textId="77777777" w:rsidR="0029293C" w:rsidRDefault="0029293C" w:rsidP="0029293C">
            <w:pPr>
              <w:autoSpaceDE w:val="0"/>
              <w:autoSpaceDN w:val="0"/>
              <w:adjustRightInd w:val="0"/>
              <w:jc w:val="right"/>
              <w:rPr>
                <w:rFonts w:cs="Verdana"/>
                <w:color w:val="000000"/>
                <w:sz w:val="16"/>
                <w:szCs w:val="16"/>
              </w:rPr>
            </w:pPr>
          </w:p>
        </w:tc>
      </w:tr>
      <w:tr w:rsidR="0029293C" w:rsidRPr="00293EA1" w14:paraId="6E3D2244" w14:textId="77777777" w:rsidTr="0029293C">
        <w:trPr>
          <w:trHeight w:val="250"/>
        </w:trPr>
        <w:tc>
          <w:tcPr>
            <w:tcW w:w="916" w:type="pct"/>
            <w:tcBorders>
              <w:top w:val="single" w:sz="2" w:space="0" w:color="000000"/>
              <w:left w:val="single" w:sz="2" w:space="0" w:color="000000"/>
              <w:bottom w:val="single" w:sz="2" w:space="0" w:color="000000"/>
              <w:right w:val="single" w:sz="2" w:space="0" w:color="000000"/>
            </w:tcBorders>
            <w:vAlign w:val="center"/>
          </w:tcPr>
          <w:p w14:paraId="2C733878" w14:textId="77777777" w:rsidR="0029293C" w:rsidRPr="00293EA1" w:rsidRDefault="0029293C" w:rsidP="0029293C">
            <w:pPr>
              <w:autoSpaceDE w:val="0"/>
              <w:autoSpaceDN w:val="0"/>
              <w:adjustRightInd w:val="0"/>
              <w:jc w:val="left"/>
              <w:rPr>
                <w:rFonts w:cs="Verdana"/>
                <w:b/>
                <w:bCs/>
                <w:sz w:val="15"/>
                <w:szCs w:val="15"/>
              </w:rPr>
            </w:pPr>
            <w:r w:rsidRPr="00293EA1">
              <w:rPr>
                <w:rFonts w:cs="Verdana"/>
                <w:b/>
                <w:bCs/>
                <w:sz w:val="15"/>
                <w:szCs w:val="15"/>
              </w:rPr>
              <w:t>Γενικό Σύνολο</w:t>
            </w:r>
          </w:p>
        </w:tc>
        <w:tc>
          <w:tcPr>
            <w:tcW w:w="518" w:type="pct"/>
            <w:tcBorders>
              <w:top w:val="single" w:sz="2" w:space="0" w:color="000000"/>
              <w:left w:val="single" w:sz="2" w:space="0" w:color="000000"/>
              <w:bottom w:val="single" w:sz="2" w:space="0" w:color="000000"/>
              <w:right w:val="single" w:sz="2" w:space="0" w:color="000000"/>
            </w:tcBorders>
            <w:vAlign w:val="center"/>
          </w:tcPr>
          <w:p w14:paraId="5B4A21E4"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479.224</w:t>
            </w:r>
          </w:p>
        </w:tc>
        <w:tc>
          <w:tcPr>
            <w:tcW w:w="524" w:type="pct"/>
            <w:tcBorders>
              <w:top w:val="single" w:sz="2" w:space="0" w:color="000000"/>
              <w:left w:val="single" w:sz="2" w:space="0" w:color="000000"/>
              <w:bottom w:val="single" w:sz="2" w:space="0" w:color="000000"/>
              <w:right w:val="single" w:sz="2" w:space="0" w:color="000000"/>
            </w:tcBorders>
            <w:vAlign w:val="center"/>
          </w:tcPr>
          <w:p w14:paraId="460320EA"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479.811</w:t>
            </w:r>
          </w:p>
        </w:tc>
        <w:tc>
          <w:tcPr>
            <w:tcW w:w="375" w:type="pct"/>
            <w:tcBorders>
              <w:top w:val="single" w:sz="2" w:space="0" w:color="000000"/>
              <w:left w:val="single" w:sz="2" w:space="0" w:color="000000"/>
              <w:bottom w:val="single" w:sz="2" w:space="0" w:color="000000"/>
              <w:right w:val="single" w:sz="2" w:space="0" w:color="000000"/>
            </w:tcBorders>
            <w:vAlign w:val="center"/>
          </w:tcPr>
          <w:p w14:paraId="011278DE"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-0,1</w:t>
            </w:r>
          </w:p>
        </w:tc>
        <w:tc>
          <w:tcPr>
            <w:tcW w:w="489" w:type="pct"/>
            <w:tcBorders>
              <w:top w:val="single" w:sz="2" w:space="0" w:color="000000"/>
              <w:left w:val="single" w:sz="2" w:space="0" w:color="000000"/>
              <w:bottom w:val="single" w:sz="2" w:space="0" w:color="000000"/>
              <w:right w:val="single" w:sz="2" w:space="0" w:color="000000"/>
            </w:tcBorders>
            <w:vAlign w:val="center"/>
          </w:tcPr>
          <w:p w14:paraId="3CB3978B"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165.777</w:t>
            </w:r>
          </w:p>
        </w:tc>
        <w:tc>
          <w:tcPr>
            <w:tcW w:w="489" w:type="pct"/>
            <w:tcBorders>
              <w:top w:val="single" w:sz="2" w:space="0" w:color="000000"/>
              <w:left w:val="single" w:sz="2" w:space="0" w:color="000000"/>
              <w:bottom w:val="single" w:sz="2" w:space="0" w:color="000000"/>
              <w:right w:val="single" w:sz="2" w:space="0" w:color="000000"/>
            </w:tcBorders>
            <w:vAlign w:val="center"/>
          </w:tcPr>
          <w:p w14:paraId="50C9807E"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152.774</w:t>
            </w:r>
          </w:p>
        </w:tc>
        <w:tc>
          <w:tcPr>
            <w:tcW w:w="383" w:type="pct"/>
            <w:tcBorders>
              <w:top w:val="single" w:sz="2" w:space="0" w:color="000000"/>
              <w:left w:val="single" w:sz="2" w:space="0" w:color="000000"/>
              <w:bottom w:val="single" w:sz="2" w:space="0" w:color="000000"/>
              <w:right w:val="single" w:sz="2" w:space="0" w:color="000000"/>
            </w:tcBorders>
            <w:vAlign w:val="center"/>
          </w:tcPr>
          <w:p w14:paraId="5D5354A3"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8,5</w:t>
            </w:r>
          </w:p>
        </w:tc>
        <w:tc>
          <w:tcPr>
            <w:tcW w:w="435" w:type="pct"/>
            <w:tcBorders>
              <w:top w:val="single" w:sz="2" w:space="0" w:color="000000"/>
              <w:left w:val="single" w:sz="2" w:space="0" w:color="000000"/>
              <w:bottom w:val="single" w:sz="2" w:space="0" w:color="000000"/>
              <w:right w:val="single" w:sz="2" w:space="0" w:color="000000"/>
            </w:tcBorders>
            <w:vAlign w:val="center"/>
          </w:tcPr>
          <w:p w14:paraId="60E2DC83"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6.165</w:t>
            </w:r>
          </w:p>
        </w:tc>
        <w:tc>
          <w:tcPr>
            <w:tcW w:w="447" w:type="pct"/>
            <w:tcBorders>
              <w:top w:val="single" w:sz="2" w:space="0" w:color="000000"/>
              <w:left w:val="single" w:sz="2" w:space="0" w:color="000000"/>
              <w:bottom w:val="single" w:sz="2" w:space="0" w:color="000000"/>
              <w:right w:val="single" w:sz="2" w:space="0" w:color="000000"/>
            </w:tcBorders>
            <w:vAlign w:val="center"/>
          </w:tcPr>
          <w:p w14:paraId="7A326B9F"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4.774</w:t>
            </w:r>
          </w:p>
        </w:tc>
        <w:tc>
          <w:tcPr>
            <w:tcW w:w="422" w:type="pct"/>
            <w:tcBorders>
              <w:top w:val="single" w:sz="2" w:space="0" w:color="000000"/>
              <w:left w:val="single" w:sz="2" w:space="0" w:color="000000"/>
              <w:bottom w:val="single" w:sz="2" w:space="0" w:color="000000"/>
              <w:right w:val="single" w:sz="2" w:space="0" w:color="000000"/>
            </w:tcBorders>
            <w:vAlign w:val="center"/>
          </w:tcPr>
          <w:p w14:paraId="7B57B163" w14:textId="77777777" w:rsidR="0029293C" w:rsidRDefault="0029293C" w:rsidP="0029293C">
            <w:pPr>
              <w:autoSpaceDE w:val="0"/>
              <w:autoSpaceDN w:val="0"/>
              <w:adjustRightInd w:val="0"/>
              <w:jc w:val="right"/>
              <w:rPr>
                <w:rFonts w:cs="Verdana"/>
                <w:b/>
                <w:bCs/>
                <w:color w:val="000000"/>
                <w:sz w:val="16"/>
                <w:szCs w:val="16"/>
              </w:rPr>
            </w:pPr>
            <w:r>
              <w:rPr>
                <w:rFonts w:cs="Verdana"/>
                <w:b/>
                <w:bCs/>
                <w:color w:val="000000"/>
                <w:sz w:val="16"/>
                <w:szCs w:val="16"/>
              </w:rPr>
              <w:t>29,1</w:t>
            </w:r>
          </w:p>
        </w:tc>
      </w:tr>
    </w:tbl>
    <w:p w14:paraId="3A587BEC" w14:textId="77777777" w:rsidR="00030CCF" w:rsidRPr="00293EA1" w:rsidRDefault="00030CCF" w:rsidP="00DF43D6">
      <w:pPr>
        <w:suppressAutoHyphens/>
        <w:spacing w:line="360" w:lineRule="auto"/>
        <w:rPr>
          <w:szCs w:val="20"/>
          <w:lang w:val="en-US"/>
        </w:rPr>
      </w:pPr>
    </w:p>
    <w:p w14:paraId="07FF0AC6" w14:textId="1AF484DB" w:rsidR="005C5DD9" w:rsidRDefault="00C913C9" w:rsidP="00B96C69">
      <w:pPr>
        <w:suppressAutoHyphens/>
        <w:spacing w:line="360" w:lineRule="auto"/>
        <w:ind w:firstLine="720"/>
        <w:rPr>
          <w:szCs w:val="20"/>
        </w:rPr>
      </w:pPr>
      <w:r w:rsidRPr="005C5DD9">
        <w:rPr>
          <w:szCs w:val="20"/>
        </w:rPr>
        <w:t>Ο</w:t>
      </w:r>
      <w:r w:rsidR="005D15BA" w:rsidRPr="005C5DD9">
        <w:rPr>
          <w:szCs w:val="20"/>
        </w:rPr>
        <w:t xml:space="preserve"> παρά</w:t>
      </w:r>
      <w:r w:rsidR="00F23A3B" w:rsidRPr="005C5DD9">
        <w:rPr>
          <w:szCs w:val="20"/>
        </w:rPr>
        <w:t xml:space="preserve">γοντας που συνέβαλε περισσότερο </w:t>
      </w:r>
      <w:r w:rsidR="005D15BA" w:rsidRPr="005C5DD9">
        <w:rPr>
          <w:szCs w:val="20"/>
        </w:rPr>
        <w:t>στη</w:t>
      </w:r>
      <w:r w:rsidRPr="005C5DD9">
        <w:rPr>
          <w:szCs w:val="20"/>
        </w:rPr>
        <w:t>ν αύξηση</w:t>
      </w:r>
      <w:r w:rsidR="005D15BA" w:rsidRPr="005C5DD9">
        <w:rPr>
          <w:szCs w:val="20"/>
        </w:rPr>
        <w:t xml:space="preserve"> του συνολικού καθαρού αποτελέσματος </w:t>
      </w:r>
      <w:r w:rsidR="008E7574" w:rsidRPr="005C5DD9">
        <w:rPr>
          <w:szCs w:val="20"/>
        </w:rPr>
        <w:t>ήταν κυρίως</w:t>
      </w:r>
      <w:r w:rsidRPr="005C5DD9">
        <w:rPr>
          <w:szCs w:val="20"/>
        </w:rPr>
        <w:t xml:space="preserve"> οι 1.703</w:t>
      </w:r>
      <w:r w:rsidR="005F7184" w:rsidRPr="005C5DD9">
        <w:rPr>
          <w:szCs w:val="20"/>
        </w:rPr>
        <w:t xml:space="preserve"> επιχειρήσεις </w:t>
      </w:r>
      <w:r w:rsidR="00003B41" w:rsidRPr="005C5DD9">
        <w:rPr>
          <w:szCs w:val="20"/>
        </w:rPr>
        <w:t xml:space="preserve">που </w:t>
      </w:r>
      <w:r w:rsidR="005F7184" w:rsidRPr="005C5DD9">
        <w:rPr>
          <w:szCs w:val="20"/>
        </w:rPr>
        <w:t>κατάφεραν να αντιστρέψουν το (συνολικό) ζημιογόνο αποτέλεσμα του</w:t>
      </w:r>
      <w:r w:rsidRPr="005C5DD9">
        <w:rPr>
          <w:szCs w:val="20"/>
        </w:rPr>
        <w:t xml:space="preserve"> 2017</w:t>
      </w:r>
      <w:r w:rsidR="005F7184" w:rsidRPr="005C5DD9">
        <w:rPr>
          <w:szCs w:val="20"/>
        </w:rPr>
        <w:t xml:space="preserve"> και να εμφανίσουν κέρδη το</w:t>
      </w:r>
      <w:r w:rsidRPr="005C5DD9">
        <w:rPr>
          <w:szCs w:val="20"/>
        </w:rPr>
        <w:t xml:space="preserve"> 2018.</w:t>
      </w:r>
      <w:r w:rsidR="00341663" w:rsidRPr="005C5DD9">
        <w:rPr>
          <w:szCs w:val="20"/>
        </w:rPr>
        <w:t xml:space="preserve"> </w:t>
      </w:r>
      <w:r w:rsidR="00BB1967" w:rsidRPr="005C5DD9">
        <w:rPr>
          <w:szCs w:val="20"/>
        </w:rPr>
        <w:t>Παράλληλα,</w:t>
      </w:r>
      <w:r w:rsidRPr="005C5DD9">
        <w:t xml:space="preserve"> 3.349</w:t>
      </w:r>
      <w:r w:rsidR="00341663" w:rsidRPr="005C5DD9">
        <w:rPr>
          <w:szCs w:val="20"/>
        </w:rPr>
        <w:t xml:space="preserve"> επιχειρήσεις </w:t>
      </w:r>
      <w:r w:rsidRPr="005C5DD9">
        <w:rPr>
          <w:szCs w:val="20"/>
        </w:rPr>
        <w:t xml:space="preserve">οι οποίες </w:t>
      </w:r>
      <w:r w:rsidR="00341663" w:rsidRPr="005C5DD9">
        <w:rPr>
          <w:szCs w:val="20"/>
        </w:rPr>
        <w:t>ήταν</w:t>
      </w:r>
      <w:r w:rsidRPr="005C5DD9">
        <w:rPr>
          <w:szCs w:val="20"/>
        </w:rPr>
        <w:t xml:space="preserve"> ζημιογόνες και τα δύο έτη κατάφεραν να μειώσουν το αρνητικό τους αποτέλεσμα κατά 31,1% το 2018/2017. Επιπλέον</w:t>
      </w:r>
      <w:r w:rsidR="008E4D00">
        <w:rPr>
          <w:szCs w:val="20"/>
        </w:rPr>
        <w:t>,</w:t>
      </w:r>
      <w:r w:rsidRPr="005C5DD9">
        <w:rPr>
          <w:szCs w:val="20"/>
        </w:rPr>
        <w:t xml:space="preserve"> 8.737 επιχειρήσεις (ήτοι το 57,6% του δείγματος των 15.168 επιχειρήσεων) ήταν κερδοφόρες τη διετία 2017-2018, αυξάνοντας μάλιστα την κερδοφορία τους κατά 5,8%</w:t>
      </w:r>
      <w:r w:rsidR="00F6403F" w:rsidRPr="005C5DD9">
        <w:rPr>
          <w:szCs w:val="20"/>
        </w:rPr>
        <w:t xml:space="preserve">. </w:t>
      </w:r>
      <w:r w:rsidRPr="005C5DD9">
        <w:rPr>
          <w:szCs w:val="20"/>
        </w:rPr>
        <w:t>Από την άλλη πλευρά</w:t>
      </w:r>
      <w:r w:rsidR="00E605B7" w:rsidRPr="005C5DD9">
        <w:rPr>
          <w:szCs w:val="20"/>
        </w:rPr>
        <w:t xml:space="preserve"> όμως, υπάρχουν</w:t>
      </w:r>
      <w:r w:rsidR="00F6403F" w:rsidRPr="005C5DD9">
        <w:rPr>
          <w:szCs w:val="20"/>
        </w:rPr>
        <w:t xml:space="preserve"> </w:t>
      </w:r>
      <w:r w:rsidR="00E605B7" w:rsidRPr="005C5DD9">
        <w:rPr>
          <w:szCs w:val="20"/>
        </w:rPr>
        <w:t xml:space="preserve">και </w:t>
      </w:r>
      <w:r w:rsidRPr="005C5DD9">
        <w:rPr>
          <w:szCs w:val="20"/>
        </w:rPr>
        <w:t>1.379 επιχειρήσεις</w:t>
      </w:r>
      <w:r w:rsidR="00E605B7" w:rsidRPr="005C5DD9">
        <w:rPr>
          <w:szCs w:val="20"/>
        </w:rPr>
        <w:t xml:space="preserve"> των οποίων το συνολικό καθαρό αποτέλεσμα</w:t>
      </w:r>
      <w:r w:rsidR="00F6403F" w:rsidRPr="005C5DD9">
        <w:rPr>
          <w:szCs w:val="20"/>
        </w:rPr>
        <w:t xml:space="preserve"> ήταν ζημιογόνο</w:t>
      </w:r>
      <w:r w:rsidR="00E605B7" w:rsidRPr="005C5DD9">
        <w:rPr>
          <w:szCs w:val="20"/>
        </w:rPr>
        <w:t xml:space="preserve"> το 2018 από</w:t>
      </w:r>
      <w:r w:rsidR="00F6403F" w:rsidRPr="005C5DD9">
        <w:rPr>
          <w:szCs w:val="20"/>
        </w:rPr>
        <w:t xml:space="preserve"> κερδοφόρο</w:t>
      </w:r>
      <w:r w:rsidR="00E605B7" w:rsidRPr="005C5DD9">
        <w:rPr>
          <w:szCs w:val="20"/>
        </w:rPr>
        <w:t xml:space="preserve"> το προηγούμενο έτος. </w:t>
      </w:r>
    </w:p>
    <w:p w14:paraId="31997AC2" w14:textId="68073CF7" w:rsidR="00B96C69" w:rsidRDefault="00B96C69" w:rsidP="00B96C69">
      <w:pPr>
        <w:suppressAutoHyphens/>
        <w:spacing w:line="360" w:lineRule="auto"/>
        <w:ind w:firstLine="720"/>
        <w:rPr>
          <w:szCs w:val="20"/>
        </w:rPr>
      </w:pPr>
    </w:p>
    <w:p w14:paraId="78BABD6C" w14:textId="77777777" w:rsidR="00B96C69" w:rsidRDefault="00B96C69" w:rsidP="00B96C69">
      <w:pPr>
        <w:suppressAutoHyphens/>
        <w:spacing w:line="360" w:lineRule="auto"/>
        <w:ind w:firstLine="720"/>
        <w:rPr>
          <w:szCs w:val="20"/>
        </w:rPr>
      </w:pPr>
    </w:p>
    <w:tbl>
      <w:tblPr>
        <w:tblStyle w:val="TableContemporary"/>
        <w:tblpPr w:leftFromText="180" w:rightFromText="180" w:vertAnchor="text" w:horzAnchor="margin" w:tblpY="244"/>
        <w:tblW w:w="5000" w:type="pct"/>
        <w:tblLook w:val="01E0" w:firstRow="1" w:lastRow="1" w:firstColumn="1" w:lastColumn="1" w:noHBand="0" w:noVBand="0"/>
      </w:tblPr>
      <w:tblGrid>
        <w:gridCol w:w="1927"/>
        <w:gridCol w:w="1927"/>
        <w:gridCol w:w="1928"/>
        <w:gridCol w:w="1928"/>
        <w:gridCol w:w="1928"/>
      </w:tblGrid>
      <w:tr w:rsidR="00603ADD" w:rsidRPr="005C5DD9" w14:paraId="436FAAB0" w14:textId="77777777" w:rsidTr="00603ADD">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7233AC8E" w14:textId="77777777" w:rsidR="00603ADD" w:rsidRPr="005C5DD9" w:rsidRDefault="00603ADD" w:rsidP="00603ADD">
            <w:pPr>
              <w:jc w:val="center"/>
              <w:rPr>
                <w:kern w:val="1"/>
                <w:sz w:val="18"/>
                <w:szCs w:val="18"/>
                <w:lang w:val="en-US"/>
              </w:rPr>
            </w:pPr>
            <w:r w:rsidRPr="005C5DD9">
              <w:rPr>
                <w:kern w:val="1"/>
                <w:sz w:val="18"/>
                <w:szCs w:val="18"/>
              </w:rPr>
              <w:lastRenderedPageBreak/>
              <w:t>Οι Μεταβολές της Κερδοφορίας: 201</w:t>
            </w:r>
            <w:r w:rsidRPr="005C5DD9">
              <w:rPr>
                <w:kern w:val="1"/>
                <w:sz w:val="18"/>
                <w:szCs w:val="18"/>
                <w:lang w:val="en-US"/>
              </w:rPr>
              <w:t>8</w:t>
            </w:r>
            <w:r w:rsidRPr="005C5DD9">
              <w:rPr>
                <w:kern w:val="1"/>
                <w:sz w:val="18"/>
                <w:szCs w:val="18"/>
              </w:rPr>
              <w:t>-201</w:t>
            </w:r>
            <w:r w:rsidRPr="005C5DD9">
              <w:rPr>
                <w:kern w:val="1"/>
                <w:sz w:val="18"/>
                <w:szCs w:val="18"/>
                <w:lang w:val="en-US"/>
              </w:rPr>
              <w:t>7</w:t>
            </w:r>
          </w:p>
        </w:tc>
      </w:tr>
      <w:tr w:rsidR="00603ADD" w:rsidRPr="005C5DD9" w14:paraId="03B2D71B" w14:textId="77777777" w:rsidTr="00603ADD">
        <w:trPr>
          <w:cnfStyle w:val="000000100000" w:firstRow="0" w:lastRow="0" w:firstColumn="0" w:lastColumn="0" w:oddVBand="0" w:evenVBand="0" w:oddHBand="1" w:evenHBand="0" w:firstRowFirstColumn="0" w:firstRowLastColumn="0" w:lastRowFirstColumn="0" w:lastRowLastColumn="0"/>
        </w:trPr>
        <w:tc>
          <w:tcPr>
            <w:tcW w:w="5000" w:type="pct"/>
            <w:gridSpan w:val="5"/>
          </w:tcPr>
          <w:p w14:paraId="2DF3F961" w14:textId="77777777" w:rsidR="00603ADD" w:rsidRPr="005C5DD9" w:rsidRDefault="00603ADD" w:rsidP="00603ADD">
            <w:pPr>
              <w:jc w:val="center"/>
              <w:rPr>
                <w:i/>
                <w:kern w:val="1"/>
                <w:sz w:val="18"/>
                <w:szCs w:val="18"/>
              </w:rPr>
            </w:pPr>
            <w:r w:rsidRPr="005C5DD9">
              <w:rPr>
                <w:i/>
                <w:kern w:val="1"/>
                <w:sz w:val="18"/>
                <w:szCs w:val="18"/>
              </w:rPr>
              <w:t>(Εξαιρουμένων των Χρηματοπιστωτικών Υπηρεσιών)</w:t>
            </w:r>
          </w:p>
        </w:tc>
      </w:tr>
      <w:tr w:rsidR="00603ADD" w:rsidRPr="005C5DD9" w14:paraId="481F9800" w14:textId="77777777" w:rsidTr="00603ADD">
        <w:trPr>
          <w:cnfStyle w:val="000000010000" w:firstRow="0" w:lastRow="0" w:firstColumn="0" w:lastColumn="0" w:oddVBand="0" w:evenVBand="0" w:oddHBand="0" w:evenHBand="1" w:firstRowFirstColumn="0" w:firstRowLastColumn="0" w:lastRowFirstColumn="0" w:lastRowLastColumn="0"/>
        </w:trPr>
        <w:tc>
          <w:tcPr>
            <w:tcW w:w="5000" w:type="pct"/>
            <w:gridSpan w:val="5"/>
          </w:tcPr>
          <w:p w14:paraId="7EF2EA9D" w14:textId="77777777" w:rsidR="00603ADD" w:rsidRPr="005C5DD9" w:rsidRDefault="00603ADD" w:rsidP="00603ADD">
            <w:pPr>
              <w:jc w:val="center"/>
              <w:rPr>
                <w:i/>
                <w:kern w:val="1"/>
                <w:sz w:val="18"/>
                <w:szCs w:val="18"/>
                <w:lang w:val="en-US"/>
              </w:rPr>
            </w:pPr>
            <w:r w:rsidRPr="005C5DD9">
              <w:rPr>
                <w:i/>
                <w:kern w:val="1"/>
                <w:sz w:val="18"/>
                <w:szCs w:val="18"/>
                <w:lang w:val="en-US"/>
              </w:rPr>
              <w:t>(€ 000)</w:t>
            </w:r>
          </w:p>
        </w:tc>
      </w:tr>
      <w:tr w:rsidR="00603ADD" w:rsidRPr="005C5DD9" w14:paraId="7CAA7E08" w14:textId="77777777" w:rsidTr="00603ADD">
        <w:trPr>
          <w:cnfStyle w:val="000000100000" w:firstRow="0" w:lastRow="0" w:firstColumn="0" w:lastColumn="0" w:oddVBand="0" w:evenVBand="0" w:oddHBand="1" w:evenHBand="0" w:firstRowFirstColumn="0" w:firstRowLastColumn="0" w:lastRowFirstColumn="0" w:lastRowLastColumn="0"/>
        </w:trPr>
        <w:tc>
          <w:tcPr>
            <w:tcW w:w="1000" w:type="pct"/>
          </w:tcPr>
          <w:p w14:paraId="7F17015A" w14:textId="77777777" w:rsidR="00603ADD" w:rsidRPr="005C5DD9" w:rsidRDefault="00603ADD" w:rsidP="00603ADD">
            <w:pPr>
              <w:jc w:val="left"/>
              <w:rPr>
                <w:b/>
                <w:kern w:val="1"/>
                <w:sz w:val="18"/>
                <w:szCs w:val="18"/>
              </w:rPr>
            </w:pPr>
            <w:r w:rsidRPr="005C5DD9">
              <w:rPr>
                <w:b/>
                <w:kern w:val="1"/>
                <w:sz w:val="18"/>
                <w:szCs w:val="18"/>
              </w:rPr>
              <w:t>Κατηγορία</w:t>
            </w:r>
          </w:p>
        </w:tc>
        <w:tc>
          <w:tcPr>
            <w:tcW w:w="1000" w:type="pct"/>
          </w:tcPr>
          <w:p w14:paraId="309BD33B" w14:textId="77777777" w:rsidR="00603ADD" w:rsidRPr="005C5DD9" w:rsidRDefault="00603ADD" w:rsidP="00603ADD">
            <w:pPr>
              <w:jc w:val="center"/>
              <w:rPr>
                <w:b/>
                <w:kern w:val="1"/>
                <w:sz w:val="18"/>
                <w:szCs w:val="18"/>
              </w:rPr>
            </w:pPr>
            <w:r w:rsidRPr="005C5DD9">
              <w:rPr>
                <w:b/>
                <w:kern w:val="1"/>
                <w:sz w:val="18"/>
                <w:szCs w:val="18"/>
              </w:rPr>
              <w:t>Επιχειρήσεις</w:t>
            </w:r>
          </w:p>
        </w:tc>
        <w:tc>
          <w:tcPr>
            <w:tcW w:w="1000" w:type="pct"/>
          </w:tcPr>
          <w:p w14:paraId="650349E2" w14:textId="77777777" w:rsidR="00603ADD" w:rsidRPr="005C5DD9" w:rsidRDefault="00603ADD" w:rsidP="00603ADD">
            <w:pPr>
              <w:jc w:val="center"/>
              <w:rPr>
                <w:b/>
                <w:kern w:val="1"/>
                <w:sz w:val="18"/>
                <w:szCs w:val="18"/>
                <w:lang w:val="en-US"/>
              </w:rPr>
            </w:pPr>
            <w:r w:rsidRPr="005C5DD9">
              <w:rPr>
                <w:b/>
                <w:kern w:val="1"/>
                <w:sz w:val="18"/>
                <w:szCs w:val="18"/>
              </w:rPr>
              <w:t>Αποτέλεσμα 201</w:t>
            </w:r>
            <w:r w:rsidRPr="005C5DD9">
              <w:rPr>
                <w:b/>
                <w:kern w:val="1"/>
                <w:sz w:val="18"/>
                <w:szCs w:val="18"/>
                <w:lang w:val="en-US"/>
              </w:rPr>
              <w:t>8</w:t>
            </w:r>
          </w:p>
        </w:tc>
        <w:tc>
          <w:tcPr>
            <w:tcW w:w="1000" w:type="pct"/>
          </w:tcPr>
          <w:p w14:paraId="4A365FEF" w14:textId="77777777" w:rsidR="00603ADD" w:rsidRPr="005C5DD9" w:rsidRDefault="00603ADD" w:rsidP="00603ADD">
            <w:pPr>
              <w:jc w:val="center"/>
              <w:rPr>
                <w:b/>
                <w:kern w:val="1"/>
                <w:sz w:val="18"/>
                <w:szCs w:val="18"/>
                <w:lang w:val="en-US"/>
              </w:rPr>
            </w:pPr>
            <w:r w:rsidRPr="005C5DD9">
              <w:rPr>
                <w:b/>
                <w:kern w:val="1"/>
                <w:sz w:val="18"/>
                <w:szCs w:val="18"/>
              </w:rPr>
              <w:t>Αποτέλεσμα 201</w:t>
            </w:r>
            <w:r w:rsidRPr="005C5DD9">
              <w:rPr>
                <w:b/>
                <w:kern w:val="1"/>
                <w:sz w:val="18"/>
                <w:szCs w:val="18"/>
                <w:lang w:val="en-US"/>
              </w:rPr>
              <w:t>7</w:t>
            </w:r>
          </w:p>
        </w:tc>
        <w:tc>
          <w:tcPr>
            <w:tcW w:w="1000" w:type="pct"/>
          </w:tcPr>
          <w:p w14:paraId="230B1ED4" w14:textId="77777777" w:rsidR="00603ADD" w:rsidRPr="005C5DD9" w:rsidRDefault="00603ADD" w:rsidP="00603ADD">
            <w:pPr>
              <w:jc w:val="center"/>
              <w:rPr>
                <w:b/>
                <w:kern w:val="1"/>
                <w:sz w:val="18"/>
                <w:szCs w:val="18"/>
              </w:rPr>
            </w:pPr>
            <w:r w:rsidRPr="005C5DD9">
              <w:rPr>
                <w:b/>
                <w:kern w:val="1"/>
                <w:sz w:val="18"/>
                <w:szCs w:val="18"/>
              </w:rPr>
              <w:t>Μεταβολή</w:t>
            </w:r>
          </w:p>
        </w:tc>
      </w:tr>
      <w:tr w:rsidR="00603ADD" w:rsidRPr="005C5DD9" w14:paraId="34737AF2" w14:textId="77777777" w:rsidTr="00603ADD">
        <w:trPr>
          <w:cnfStyle w:val="000000010000" w:firstRow="0" w:lastRow="0" w:firstColumn="0" w:lastColumn="0" w:oddVBand="0" w:evenVBand="0" w:oddHBand="0" w:evenHBand="1" w:firstRowFirstColumn="0" w:firstRowLastColumn="0" w:lastRowFirstColumn="0" w:lastRowLastColumn="0"/>
        </w:trPr>
        <w:tc>
          <w:tcPr>
            <w:tcW w:w="1000" w:type="pct"/>
            <w:shd w:val="pct5" w:color="000000" w:fill="FFFFFF"/>
          </w:tcPr>
          <w:p w14:paraId="33B20300" w14:textId="77777777" w:rsidR="00603ADD" w:rsidRPr="005C5DD9" w:rsidRDefault="00603ADD" w:rsidP="00603ADD">
            <w:pPr>
              <w:rPr>
                <w:sz w:val="16"/>
                <w:szCs w:val="16"/>
              </w:rPr>
            </w:pPr>
            <w:r w:rsidRPr="005C5DD9">
              <w:rPr>
                <w:sz w:val="16"/>
                <w:szCs w:val="16"/>
              </w:rPr>
              <w:t>Κ 2018 – Κ 2017</w:t>
            </w:r>
          </w:p>
        </w:tc>
        <w:tc>
          <w:tcPr>
            <w:tcW w:w="1000" w:type="pct"/>
            <w:shd w:val="pct5" w:color="000000" w:fill="FFFFFF"/>
            <w:vAlign w:val="bottom"/>
          </w:tcPr>
          <w:p w14:paraId="4F29E7D9" w14:textId="77777777" w:rsidR="00603ADD" w:rsidRPr="005C5DD9" w:rsidRDefault="00603ADD" w:rsidP="00603ADD">
            <w:pPr>
              <w:jc w:val="right"/>
              <w:rPr>
                <w:sz w:val="16"/>
                <w:szCs w:val="16"/>
                <w:lang w:val="en-US"/>
              </w:rPr>
            </w:pPr>
            <w:r w:rsidRPr="005C5DD9">
              <w:rPr>
                <w:sz w:val="16"/>
                <w:szCs w:val="16"/>
                <w:lang w:val="en-US"/>
              </w:rPr>
              <w:t>8.737</w:t>
            </w:r>
          </w:p>
        </w:tc>
        <w:tc>
          <w:tcPr>
            <w:tcW w:w="1000" w:type="pct"/>
            <w:tcBorders>
              <w:bottom w:val="single" w:sz="18" w:space="0" w:color="FFFFFF"/>
            </w:tcBorders>
            <w:shd w:val="pct5" w:color="000000" w:fill="FFFFFF"/>
            <w:vAlign w:val="bottom"/>
          </w:tcPr>
          <w:p w14:paraId="15B0494D" w14:textId="77777777" w:rsidR="00603ADD" w:rsidRPr="005C5DD9" w:rsidRDefault="00603ADD" w:rsidP="00603ADD">
            <w:pPr>
              <w:jc w:val="right"/>
              <w:rPr>
                <w:sz w:val="16"/>
                <w:szCs w:val="16"/>
                <w:lang w:val="en-US"/>
              </w:rPr>
            </w:pPr>
            <w:r w:rsidRPr="005C5DD9">
              <w:rPr>
                <w:sz w:val="16"/>
                <w:szCs w:val="16"/>
                <w:lang w:val="en-US"/>
              </w:rPr>
              <w:t>8.747.749</w:t>
            </w:r>
          </w:p>
        </w:tc>
        <w:tc>
          <w:tcPr>
            <w:tcW w:w="1000" w:type="pct"/>
            <w:tcBorders>
              <w:bottom w:val="single" w:sz="18" w:space="0" w:color="FFFFFF"/>
            </w:tcBorders>
            <w:shd w:val="pct5" w:color="000000" w:fill="FFFFFF"/>
            <w:vAlign w:val="bottom"/>
          </w:tcPr>
          <w:p w14:paraId="26F8BDCE" w14:textId="77777777" w:rsidR="00603ADD" w:rsidRPr="005C5DD9" w:rsidRDefault="00603ADD" w:rsidP="00603ADD">
            <w:pPr>
              <w:jc w:val="right"/>
              <w:rPr>
                <w:sz w:val="16"/>
                <w:szCs w:val="16"/>
                <w:lang w:val="en-US"/>
              </w:rPr>
            </w:pPr>
            <w:r w:rsidRPr="005C5DD9">
              <w:rPr>
                <w:sz w:val="16"/>
                <w:szCs w:val="16"/>
              </w:rPr>
              <w:t>8.267.87</w:t>
            </w:r>
            <w:r w:rsidRPr="005C5DD9">
              <w:rPr>
                <w:sz w:val="16"/>
                <w:szCs w:val="16"/>
                <w:lang w:val="en-US"/>
              </w:rPr>
              <w:t>7</w:t>
            </w:r>
          </w:p>
        </w:tc>
        <w:tc>
          <w:tcPr>
            <w:tcW w:w="1000" w:type="pct"/>
            <w:tcBorders>
              <w:bottom w:val="single" w:sz="18" w:space="0" w:color="FFFFFF"/>
            </w:tcBorders>
            <w:shd w:val="pct5" w:color="000000" w:fill="FFFFFF"/>
          </w:tcPr>
          <w:p w14:paraId="2F964F78" w14:textId="77777777" w:rsidR="00603ADD" w:rsidRPr="005C5DD9" w:rsidRDefault="00603ADD" w:rsidP="00603ADD">
            <w:pPr>
              <w:widowControl/>
              <w:autoSpaceDE w:val="0"/>
              <w:autoSpaceDN w:val="0"/>
              <w:adjustRightInd w:val="0"/>
              <w:jc w:val="right"/>
              <w:rPr>
                <w:rFonts w:eastAsia="Times New Roman" w:cs="Verdana"/>
                <w:sz w:val="16"/>
                <w:szCs w:val="16"/>
                <w:lang w:val="en-US"/>
              </w:rPr>
            </w:pPr>
            <w:r w:rsidRPr="005C5DD9">
              <w:rPr>
                <w:rFonts w:eastAsia="Times New Roman" w:cs="Verdana"/>
                <w:sz w:val="16"/>
                <w:szCs w:val="16"/>
                <w:lang w:val="en-US"/>
              </w:rPr>
              <w:t>479.873</w:t>
            </w:r>
          </w:p>
        </w:tc>
      </w:tr>
      <w:tr w:rsidR="00603ADD" w:rsidRPr="005C5DD9" w14:paraId="750C4F3A" w14:textId="77777777" w:rsidTr="00603ADD">
        <w:trPr>
          <w:cnfStyle w:val="000000100000" w:firstRow="0" w:lastRow="0" w:firstColumn="0" w:lastColumn="0" w:oddVBand="0" w:evenVBand="0" w:oddHBand="1" w:evenHBand="0" w:firstRowFirstColumn="0" w:firstRowLastColumn="0" w:lastRowFirstColumn="0" w:lastRowLastColumn="0"/>
        </w:trPr>
        <w:tc>
          <w:tcPr>
            <w:tcW w:w="1000" w:type="pct"/>
            <w:shd w:val="pct20" w:color="000000" w:fill="FFFFFF"/>
          </w:tcPr>
          <w:p w14:paraId="4D407346" w14:textId="77777777" w:rsidR="00603ADD" w:rsidRPr="005C5DD9" w:rsidRDefault="00603ADD" w:rsidP="00603ADD">
            <w:pPr>
              <w:rPr>
                <w:sz w:val="16"/>
                <w:szCs w:val="16"/>
              </w:rPr>
            </w:pPr>
            <w:r w:rsidRPr="005C5DD9">
              <w:rPr>
                <w:sz w:val="16"/>
                <w:szCs w:val="16"/>
              </w:rPr>
              <w:t>Ζ 2018 – Κ 2017</w:t>
            </w:r>
          </w:p>
        </w:tc>
        <w:tc>
          <w:tcPr>
            <w:tcW w:w="1000" w:type="pct"/>
            <w:shd w:val="pct20" w:color="000000" w:fill="FFFFFF"/>
            <w:vAlign w:val="bottom"/>
          </w:tcPr>
          <w:p w14:paraId="3C932AB5" w14:textId="77777777" w:rsidR="00603ADD" w:rsidRPr="005C5DD9" w:rsidRDefault="00603ADD" w:rsidP="00603ADD">
            <w:pPr>
              <w:jc w:val="right"/>
              <w:rPr>
                <w:sz w:val="16"/>
                <w:szCs w:val="16"/>
                <w:lang w:val="en-US"/>
              </w:rPr>
            </w:pPr>
            <w:r w:rsidRPr="005C5DD9">
              <w:rPr>
                <w:sz w:val="16"/>
                <w:szCs w:val="16"/>
                <w:lang w:val="en-US"/>
              </w:rPr>
              <w:t>1.379</w:t>
            </w:r>
          </w:p>
        </w:tc>
        <w:tc>
          <w:tcPr>
            <w:tcW w:w="1000" w:type="pct"/>
            <w:tcBorders>
              <w:top w:val="single" w:sz="18" w:space="0" w:color="FFFFFF"/>
              <w:bottom w:val="single" w:sz="18" w:space="0" w:color="FFFFFF"/>
            </w:tcBorders>
            <w:shd w:val="clear" w:color="auto" w:fill="BFBFBF" w:themeFill="background1" w:themeFillShade="BF"/>
            <w:vAlign w:val="bottom"/>
          </w:tcPr>
          <w:p w14:paraId="74DA3944" w14:textId="77777777" w:rsidR="00603ADD" w:rsidRPr="005C5DD9" w:rsidRDefault="00603ADD" w:rsidP="00603ADD">
            <w:pPr>
              <w:jc w:val="right"/>
              <w:rPr>
                <w:rFonts w:cs="Calibri"/>
                <w:sz w:val="16"/>
                <w:szCs w:val="16"/>
                <w:lang w:val="en-US"/>
              </w:rPr>
            </w:pPr>
            <w:r w:rsidRPr="005C5DD9">
              <w:rPr>
                <w:rFonts w:cs="Calibri"/>
                <w:sz w:val="16"/>
                <w:szCs w:val="16"/>
                <w:lang w:val="en-US"/>
              </w:rPr>
              <w:t>-1.515.628</w:t>
            </w:r>
          </w:p>
        </w:tc>
        <w:tc>
          <w:tcPr>
            <w:tcW w:w="1000" w:type="pct"/>
            <w:tcBorders>
              <w:top w:val="single" w:sz="18" w:space="0" w:color="FFFFFF"/>
              <w:bottom w:val="single" w:sz="18" w:space="0" w:color="FFFFFF"/>
            </w:tcBorders>
            <w:shd w:val="clear" w:color="auto" w:fill="BFBFBF" w:themeFill="background1" w:themeFillShade="BF"/>
            <w:vAlign w:val="bottom"/>
          </w:tcPr>
          <w:p w14:paraId="72D3EBE6" w14:textId="77777777" w:rsidR="00603ADD" w:rsidRPr="005C5DD9" w:rsidRDefault="00603ADD" w:rsidP="00603ADD">
            <w:pPr>
              <w:jc w:val="right"/>
              <w:rPr>
                <w:rFonts w:cs="Calibri"/>
                <w:sz w:val="16"/>
                <w:szCs w:val="16"/>
                <w:lang w:val="en-US"/>
              </w:rPr>
            </w:pPr>
            <w:r w:rsidRPr="005C5DD9">
              <w:rPr>
                <w:rFonts w:cs="Calibri"/>
                <w:sz w:val="16"/>
                <w:szCs w:val="16"/>
                <w:lang w:val="en-US"/>
              </w:rPr>
              <w:t>716.436</w:t>
            </w:r>
          </w:p>
        </w:tc>
        <w:tc>
          <w:tcPr>
            <w:tcW w:w="1000" w:type="pct"/>
            <w:tcBorders>
              <w:top w:val="single" w:sz="18" w:space="0" w:color="FFFFFF"/>
              <w:bottom w:val="single" w:sz="18" w:space="0" w:color="FFFFFF"/>
            </w:tcBorders>
            <w:shd w:val="clear" w:color="auto" w:fill="BFBFBF" w:themeFill="background1" w:themeFillShade="BF"/>
          </w:tcPr>
          <w:p w14:paraId="470DBCAF" w14:textId="77777777" w:rsidR="00603ADD" w:rsidRPr="005C5DD9" w:rsidRDefault="00603ADD" w:rsidP="00603ADD">
            <w:pPr>
              <w:widowControl/>
              <w:autoSpaceDE w:val="0"/>
              <w:autoSpaceDN w:val="0"/>
              <w:adjustRightInd w:val="0"/>
              <w:jc w:val="right"/>
              <w:rPr>
                <w:rFonts w:eastAsia="Times New Roman" w:cs="Verdana"/>
                <w:sz w:val="16"/>
                <w:szCs w:val="16"/>
                <w:lang w:val="en-US"/>
              </w:rPr>
            </w:pPr>
            <w:r w:rsidRPr="005C5DD9">
              <w:rPr>
                <w:rFonts w:eastAsia="Times New Roman" w:cs="Verdana"/>
                <w:sz w:val="16"/>
                <w:szCs w:val="16"/>
                <w:lang w:val="en-US"/>
              </w:rPr>
              <w:t>-2.232.063</w:t>
            </w:r>
          </w:p>
        </w:tc>
      </w:tr>
      <w:tr w:rsidR="00603ADD" w:rsidRPr="005C5DD9" w14:paraId="68AC572D" w14:textId="77777777" w:rsidTr="00603ADD">
        <w:trPr>
          <w:cnfStyle w:val="000000010000" w:firstRow="0" w:lastRow="0" w:firstColumn="0" w:lastColumn="0" w:oddVBand="0" w:evenVBand="0" w:oddHBand="0" w:evenHBand="1" w:firstRowFirstColumn="0" w:firstRowLastColumn="0" w:lastRowFirstColumn="0" w:lastRowLastColumn="0"/>
        </w:trPr>
        <w:tc>
          <w:tcPr>
            <w:tcW w:w="1000" w:type="pct"/>
            <w:shd w:val="pct5" w:color="000000" w:fill="FFFFFF"/>
          </w:tcPr>
          <w:p w14:paraId="7448531C" w14:textId="77777777" w:rsidR="00603ADD" w:rsidRPr="005C5DD9" w:rsidRDefault="00603ADD" w:rsidP="00603ADD">
            <w:pPr>
              <w:rPr>
                <w:sz w:val="16"/>
                <w:szCs w:val="16"/>
              </w:rPr>
            </w:pPr>
            <w:r w:rsidRPr="005C5DD9">
              <w:rPr>
                <w:sz w:val="16"/>
                <w:szCs w:val="16"/>
              </w:rPr>
              <w:t>Κ 2018 – Ζ 2017</w:t>
            </w:r>
          </w:p>
        </w:tc>
        <w:tc>
          <w:tcPr>
            <w:tcW w:w="1000" w:type="pct"/>
            <w:shd w:val="pct5" w:color="000000" w:fill="FFFFFF"/>
            <w:vAlign w:val="bottom"/>
          </w:tcPr>
          <w:p w14:paraId="15A960DF" w14:textId="77777777" w:rsidR="00603ADD" w:rsidRPr="005C5DD9" w:rsidRDefault="00603ADD" w:rsidP="00603ADD">
            <w:pPr>
              <w:jc w:val="right"/>
              <w:rPr>
                <w:sz w:val="16"/>
                <w:szCs w:val="16"/>
                <w:lang w:val="en-US"/>
              </w:rPr>
            </w:pPr>
            <w:r w:rsidRPr="005C5DD9">
              <w:rPr>
                <w:sz w:val="16"/>
                <w:szCs w:val="16"/>
                <w:lang w:val="en-US"/>
              </w:rPr>
              <w:t>1.703</w:t>
            </w:r>
          </w:p>
        </w:tc>
        <w:tc>
          <w:tcPr>
            <w:tcW w:w="1000" w:type="pct"/>
            <w:tcBorders>
              <w:top w:val="single" w:sz="18" w:space="0" w:color="FFFFFF"/>
            </w:tcBorders>
            <w:shd w:val="pct5" w:color="000000" w:fill="FFFFFF"/>
            <w:vAlign w:val="bottom"/>
          </w:tcPr>
          <w:p w14:paraId="1DF5FCB1" w14:textId="77777777" w:rsidR="00603ADD" w:rsidRPr="005C5DD9" w:rsidRDefault="00603ADD" w:rsidP="00603ADD">
            <w:pPr>
              <w:jc w:val="right"/>
              <w:rPr>
                <w:rFonts w:cs="Calibri"/>
                <w:sz w:val="16"/>
                <w:szCs w:val="16"/>
                <w:lang w:val="en-US"/>
              </w:rPr>
            </w:pPr>
            <w:r w:rsidRPr="005C5DD9">
              <w:rPr>
                <w:rFonts w:cs="Calibri"/>
                <w:sz w:val="16"/>
                <w:szCs w:val="16"/>
                <w:lang w:val="en-US"/>
              </w:rPr>
              <w:t>1.079.967</w:t>
            </w:r>
          </w:p>
        </w:tc>
        <w:tc>
          <w:tcPr>
            <w:tcW w:w="1000" w:type="pct"/>
            <w:tcBorders>
              <w:top w:val="single" w:sz="18" w:space="0" w:color="FFFFFF"/>
            </w:tcBorders>
            <w:shd w:val="pct5" w:color="000000" w:fill="FFFFFF"/>
            <w:vAlign w:val="bottom"/>
          </w:tcPr>
          <w:p w14:paraId="00EBD631" w14:textId="77777777" w:rsidR="00603ADD" w:rsidRPr="005C5DD9" w:rsidRDefault="00603ADD" w:rsidP="00603ADD">
            <w:pPr>
              <w:jc w:val="right"/>
              <w:rPr>
                <w:rFonts w:cs="Calibri"/>
                <w:sz w:val="16"/>
                <w:szCs w:val="16"/>
                <w:lang w:val="en-US"/>
              </w:rPr>
            </w:pPr>
            <w:r w:rsidRPr="005C5DD9">
              <w:rPr>
                <w:rFonts w:cs="Calibri"/>
                <w:sz w:val="16"/>
                <w:szCs w:val="16"/>
                <w:lang w:val="en-US"/>
              </w:rPr>
              <w:t>-856.260</w:t>
            </w:r>
          </w:p>
        </w:tc>
        <w:tc>
          <w:tcPr>
            <w:tcW w:w="1000" w:type="pct"/>
            <w:tcBorders>
              <w:top w:val="single" w:sz="18" w:space="0" w:color="FFFFFF"/>
            </w:tcBorders>
            <w:shd w:val="pct5" w:color="000000" w:fill="FFFFFF"/>
          </w:tcPr>
          <w:p w14:paraId="7284B8A4" w14:textId="77777777" w:rsidR="00603ADD" w:rsidRPr="005C5DD9" w:rsidRDefault="00603ADD" w:rsidP="00603ADD">
            <w:pPr>
              <w:widowControl/>
              <w:autoSpaceDE w:val="0"/>
              <w:autoSpaceDN w:val="0"/>
              <w:adjustRightInd w:val="0"/>
              <w:jc w:val="right"/>
              <w:rPr>
                <w:rFonts w:eastAsia="Times New Roman" w:cs="Verdana"/>
                <w:sz w:val="16"/>
                <w:szCs w:val="16"/>
                <w:lang w:val="en-US"/>
              </w:rPr>
            </w:pPr>
            <w:r w:rsidRPr="005C5DD9">
              <w:rPr>
                <w:rFonts w:eastAsia="Times New Roman" w:cs="Verdana"/>
                <w:sz w:val="16"/>
                <w:szCs w:val="16"/>
                <w:lang w:val="en-US"/>
              </w:rPr>
              <w:t>1</w:t>
            </w:r>
            <w:r w:rsidRPr="005C5DD9">
              <w:rPr>
                <w:rFonts w:eastAsia="Times New Roman" w:cs="Verdana"/>
                <w:sz w:val="16"/>
                <w:szCs w:val="16"/>
              </w:rPr>
              <w:t>.</w:t>
            </w:r>
            <w:r w:rsidRPr="005C5DD9">
              <w:rPr>
                <w:rFonts w:eastAsia="Times New Roman" w:cs="Verdana"/>
                <w:sz w:val="16"/>
                <w:szCs w:val="16"/>
                <w:lang w:val="en-US"/>
              </w:rPr>
              <w:t>936</w:t>
            </w:r>
            <w:r w:rsidRPr="005C5DD9">
              <w:rPr>
                <w:rFonts w:eastAsia="Times New Roman" w:cs="Verdana"/>
                <w:sz w:val="16"/>
                <w:szCs w:val="16"/>
              </w:rPr>
              <w:t>.</w:t>
            </w:r>
            <w:r w:rsidRPr="005C5DD9">
              <w:rPr>
                <w:rFonts w:eastAsia="Times New Roman" w:cs="Verdana"/>
                <w:sz w:val="16"/>
                <w:szCs w:val="16"/>
                <w:lang w:val="en-US"/>
              </w:rPr>
              <w:t>227</w:t>
            </w:r>
          </w:p>
        </w:tc>
      </w:tr>
      <w:tr w:rsidR="00603ADD" w:rsidRPr="005C5DD9" w14:paraId="315DE3F8" w14:textId="77777777" w:rsidTr="00603ADD">
        <w:trPr>
          <w:cnfStyle w:val="000000100000" w:firstRow="0" w:lastRow="0" w:firstColumn="0" w:lastColumn="0" w:oddVBand="0" w:evenVBand="0" w:oddHBand="1" w:evenHBand="0" w:firstRowFirstColumn="0" w:firstRowLastColumn="0" w:lastRowFirstColumn="0" w:lastRowLastColumn="0"/>
        </w:trPr>
        <w:tc>
          <w:tcPr>
            <w:tcW w:w="1000" w:type="pct"/>
            <w:shd w:val="pct20" w:color="000000" w:fill="FFFFFF"/>
          </w:tcPr>
          <w:p w14:paraId="3699386F" w14:textId="77777777" w:rsidR="00603ADD" w:rsidRPr="005C5DD9" w:rsidRDefault="00603ADD" w:rsidP="00603ADD">
            <w:pPr>
              <w:rPr>
                <w:sz w:val="16"/>
                <w:szCs w:val="16"/>
              </w:rPr>
            </w:pPr>
            <w:r w:rsidRPr="005C5DD9">
              <w:rPr>
                <w:sz w:val="16"/>
                <w:szCs w:val="16"/>
              </w:rPr>
              <w:t>Ζ 2018 – Ζ 2017</w:t>
            </w:r>
          </w:p>
        </w:tc>
        <w:tc>
          <w:tcPr>
            <w:tcW w:w="1000" w:type="pct"/>
            <w:shd w:val="pct20" w:color="000000" w:fill="FFFFFF"/>
            <w:vAlign w:val="bottom"/>
          </w:tcPr>
          <w:p w14:paraId="2F16C10F" w14:textId="77777777" w:rsidR="00603ADD" w:rsidRPr="005C5DD9" w:rsidRDefault="00603ADD" w:rsidP="00603ADD">
            <w:pPr>
              <w:jc w:val="right"/>
              <w:rPr>
                <w:sz w:val="16"/>
                <w:szCs w:val="16"/>
                <w:lang w:val="en-US"/>
              </w:rPr>
            </w:pPr>
            <w:r w:rsidRPr="005C5DD9">
              <w:rPr>
                <w:sz w:val="16"/>
                <w:szCs w:val="16"/>
                <w:lang w:val="en-US"/>
              </w:rPr>
              <w:t>3.349</w:t>
            </w:r>
          </w:p>
        </w:tc>
        <w:tc>
          <w:tcPr>
            <w:tcW w:w="1000" w:type="pct"/>
            <w:shd w:val="pct20" w:color="000000" w:fill="FFFFFF"/>
            <w:vAlign w:val="bottom"/>
          </w:tcPr>
          <w:p w14:paraId="16F921E9" w14:textId="77777777" w:rsidR="00603ADD" w:rsidRPr="005C5DD9" w:rsidRDefault="00603ADD" w:rsidP="00603ADD">
            <w:pPr>
              <w:jc w:val="right"/>
              <w:rPr>
                <w:rFonts w:cs="Calibri"/>
                <w:sz w:val="16"/>
                <w:szCs w:val="16"/>
                <w:lang w:val="en-US"/>
              </w:rPr>
            </w:pPr>
            <w:r w:rsidRPr="005C5DD9">
              <w:rPr>
                <w:rFonts w:cs="Calibri"/>
                <w:sz w:val="16"/>
                <w:szCs w:val="16"/>
                <w:lang w:val="en-US"/>
              </w:rPr>
              <w:t>-2.124.599</w:t>
            </w:r>
          </w:p>
        </w:tc>
        <w:tc>
          <w:tcPr>
            <w:tcW w:w="1000" w:type="pct"/>
            <w:shd w:val="pct20" w:color="000000" w:fill="FFFFFF"/>
            <w:vAlign w:val="bottom"/>
          </w:tcPr>
          <w:p w14:paraId="6E96A9BB" w14:textId="77777777" w:rsidR="00603ADD" w:rsidRPr="005C5DD9" w:rsidRDefault="00603ADD" w:rsidP="00603ADD">
            <w:pPr>
              <w:jc w:val="right"/>
              <w:rPr>
                <w:rFonts w:cs="Calibri"/>
                <w:sz w:val="16"/>
                <w:szCs w:val="16"/>
                <w:lang w:val="en-US"/>
              </w:rPr>
            </w:pPr>
            <w:r w:rsidRPr="005C5DD9">
              <w:rPr>
                <w:rFonts w:cs="Calibri"/>
                <w:sz w:val="16"/>
                <w:szCs w:val="16"/>
                <w:lang w:val="en-US"/>
              </w:rPr>
              <w:t>-3.085.310</w:t>
            </w:r>
          </w:p>
        </w:tc>
        <w:tc>
          <w:tcPr>
            <w:tcW w:w="1000" w:type="pct"/>
            <w:shd w:val="pct20" w:color="000000" w:fill="FFFFFF"/>
          </w:tcPr>
          <w:p w14:paraId="24FA4CB8" w14:textId="77777777" w:rsidR="00603ADD" w:rsidRPr="005C5DD9" w:rsidRDefault="00603ADD" w:rsidP="00603ADD">
            <w:pPr>
              <w:widowControl/>
              <w:autoSpaceDE w:val="0"/>
              <w:autoSpaceDN w:val="0"/>
              <w:adjustRightInd w:val="0"/>
              <w:jc w:val="right"/>
              <w:rPr>
                <w:rFonts w:eastAsia="Times New Roman" w:cs="Verdana"/>
                <w:sz w:val="16"/>
                <w:szCs w:val="16"/>
                <w:lang w:val="en-US"/>
              </w:rPr>
            </w:pPr>
            <w:r w:rsidRPr="005C5DD9">
              <w:rPr>
                <w:rFonts w:eastAsia="Times New Roman" w:cs="Verdana"/>
                <w:sz w:val="16"/>
                <w:szCs w:val="16"/>
                <w:lang w:val="en-US"/>
              </w:rPr>
              <w:t>960.710</w:t>
            </w:r>
          </w:p>
        </w:tc>
      </w:tr>
      <w:tr w:rsidR="00603ADD" w:rsidRPr="005C5DD9" w14:paraId="498F95DB" w14:textId="77777777" w:rsidTr="00603ADD">
        <w:trPr>
          <w:cnfStyle w:val="000000010000" w:firstRow="0" w:lastRow="0" w:firstColumn="0" w:lastColumn="0" w:oddVBand="0" w:evenVBand="0" w:oddHBand="0" w:evenHBand="1" w:firstRowFirstColumn="0" w:firstRowLastColumn="0" w:lastRowFirstColumn="0" w:lastRowLastColumn="0"/>
        </w:trPr>
        <w:tc>
          <w:tcPr>
            <w:tcW w:w="1000" w:type="pct"/>
            <w:shd w:val="pct5" w:color="000000" w:fill="FFFFFF"/>
          </w:tcPr>
          <w:p w14:paraId="79FF729D" w14:textId="77777777" w:rsidR="00603ADD" w:rsidRPr="005C5DD9" w:rsidRDefault="00603ADD" w:rsidP="00603ADD">
            <w:pPr>
              <w:rPr>
                <w:b/>
                <w:sz w:val="16"/>
                <w:szCs w:val="16"/>
              </w:rPr>
            </w:pPr>
            <w:r w:rsidRPr="005C5DD9">
              <w:rPr>
                <w:b/>
                <w:sz w:val="16"/>
                <w:szCs w:val="16"/>
              </w:rPr>
              <w:t>Σύνολο</w:t>
            </w:r>
          </w:p>
        </w:tc>
        <w:tc>
          <w:tcPr>
            <w:tcW w:w="1000" w:type="pct"/>
            <w:shd w:val="pct5" w:color="000000" w:fill="FFFFFF"/>
            <w:vAlign w:val="bottom"/>
          </w:tcPr>
          <w:p w14:paraId="57DCE2DA" w14:textId="77777777" w:rsidR="00603ADD" w:rsidRPr="005C5DD9" w:rsidRDefault="00603ADD" w:rsidP="00603ADD">
            <w:pPr>
              <w:jc w:val="right"/>
              <w:rPr>
                <w:b/>
                <w:bCs/>
                <w:sz w:val="16"/>
                <w:szCs w:val="16"/>
                <w:lang w:val="en-US"/>
              </w:rPr>
            </w:pPr>
            <w:r w:rsidRPr="005C5DD9">
              <w:rPr>
                <w:b/>
                <w:bCs/>
                <w:sz w:val="16"/>
                <w:szCs w:val="16"/>
                <w:lang w:val="en-US"/>
              </w:rPr>
              <w:t>15.168</w:t>
            </w:r>
          </w:p>
        </w:tc>
        <w:tc>
          <w:tcPr>
            <w:tcW w:w="1000" w:type="pct"/>
            <w:tcBorders>
              <w:top w:val="nil"/>
              <w:left w:val="nil"/>
              <w:bottom w:val="nil"/>
              <w:right w:val="nil"/>
            </w:tcBorders>
            <w:shd w:val="clear" w:color="auto" w:fill="auto"/>
            <w:vAlign w:val="bottom"/>
          </w:tcPr>
          <w:p w14:paraId="4FF79BBD" w14:textId="77777777" w:rsidR="00603ADD" w:rsidRPr="005C5DD9" w:rsidRDefault="00603ADD" w:rsidP="00603ADD">
            <w:pPr>
              <w:widowControl/>
              <w:jc w:val="right"/>
              <w:rPr>
                <w:rFonts w:eastAsia="Times New Roman" w:cs="Calibri"/>
                <w:b/>
                <w:sz w:val="16"/>
                <w:szCs w:val="16"/>
                <w:lang w:val="en-US"/>
              </w:rPr>
            </w:pPr>
            <w:r w:rsidRPr="005C5DD9">
              <w:rPr>
                <w:rFonts w:eastAsia="Times New Roman" w:cs="Calibri"/>
                <w:b/>
                <w:sz w:val="16"/>
                <w:szCs w:val="16"/>
                <w:lang w:val="en-US"/>
              </w:rPr>
              <w:t>6.187.490</w:t>
            </w:r>
          </w:p>
        </w:tc>
        <w:tc>
          <w:tcPr>
            <w:tcW w:w="1000" w:type="pct"/>
            <w:tcBorders>
              <w:top w:val="nil"/>
              <w:left w:val="nil"/>
              <w:bottom w:val="nil"/>
              <w:right w:val="nil"/>
            </w:tcBorders>
            <w:shd w:val="clear" w:color="auto" w:fill="auto"/>
            <w:vAlign w:val="bottom"/>
          </w:tcPr>
          <w:p w14:paraId="691E73A1" w14:textId="77777777" w:rsidR="00603ADD" w:rsidRPr="005C5DD9" w:rsidRDefault="00603ADD" w:rsidP="00603ADD">
            <w:pPr>
              <w:jc w:val="right"/>
              <w:rPr>
                <w:rFonts w:cs="Calibri"/>
                <w:b/>
                <w:sz w:val="16"/>
                <w:szCs w:val="16"/>
                <w:lang w:val="en-US"/>
              </w:rPr>
            </w:pPr>
            <w:r w:rsidRPr="005C5DD9">
              <w:rPr>
                <w:rFonts w:cs="Calibri"/>
                <w:b/>
                <w:sz w:val="16"/>
                <w:szCs w:val="16"/>
                <w:lang w:val="en-US"/>
              </w:rPr>
              <w:t>5.042.743</w:t>
            </w:r>
          </w:p>
        </w:tc>
        <w:tc>
          <w:tcPr>
            <w:tcW w:w="1000" w:type="pct"/>
            <w:tcBorders>
              <w:top w:val="nil"/>
              <w:left w:val="nil"/>
              <w:bottom w:val="nil"/>
              <w:right w:val="nil"/>
            </w:tcBorders>
            <w:shd w:val="clear" w:color="auto" w:fill="auto"/>
            <w:vAlign w:val="bottom"/>
          </w:tcPr>
          <w:p w14:paraId="5046DCC0" w14:textId="77777777" w:rsidR="00603ADD" w:rsidRPr="005C5DD9" w:rsidRDefault="00603ADD" w:rsidP="00603ADD">
            <w:pPr>
              <w:jc w:val="right"/>
              <w:rPr>
                <w:rFonts w:cs="Calibri"/>
                <w:b/>
                <w:sz w:val="16"/>
                <w:szCs w:val="16"/>
                <w:lang w:val="en-US"/>
              </w:rPr>
            </w:pPr>
            <w:r w:rsidRPr="005C5DD9">
              <w:rPr>
                <w:rFonts w:cs="Calibri"/>
                <w:b/>
                <w:sz w:val="16"/>
                <w:szCs w:val="16"/>
                <w:lang w:val="en-US"/>
              </w:rPr>
              <w:t>1.144.747</w:t>
            </w:r>
          </w:p>
        </w:tc>
      </w:tr>
      <w:tr w:rsidR="00603ADD" w:rsidRPr="005C5DD9" w14:paraId="2DEF4C74" w14:textId="77777777" w:rsidTr="00603ADD">
        <w:trPr>
          <w:cnfStyle w:val="000000100000" w:firstRow="0" w:lastRow="0" w:firstColumn="0" w:lastColumn="0" w:oddVBand="0" w:evenVBand="0" w:oddHBand="1" w:evenHBand="0" w:firstRowFirstColumn="0" w:firstRowLastColumn="0" w:lastRowFirstColumn="0" w:lastRowLastColumn="0"/>
        </w:trPr>
        <w:tc>
          <w:tcPr>
            <w:tcW w:w="5000" w:type="pct"/>
            <w:gridSpan w:val="5"/>
            <w:shd w:val="pct20" w:color="000000" w:fill="FFFFFF"/>
          </w:tcPr>
          <w:p w14:paraId="2474BFD0" w14:textId="77777777" w:rsidR="00603ADD" w:rsidRPr="005C5DD9" w:rsidRDefault="00603ADD" w:rsidP="00603ADD">
            <w:pPr>
              <w:rPr>
                <w:i/>
                <w:sz w:val="15"/>
                <w:szCs w:val="15"/>
              </w:rPr>
            </w:pPr>
            <w:r w:rsidRPr="005C5DD9">
              <w:rPr>
                <w:i/>
                <w:sz w:val="15"/>
                <w:szCs w:val="15"/>
              </w:rPr>
              <w:t>Κ 2018/17 = επιχειρήσεις κερδοφόρες το 2018/17, Ζ 2018/17 = επιχειρήσεις ζημιογόνες το 2018/17</w:t>
            </w:r>
          </w:p>
        </w:tc>
      </w:tr>
    </w:tbl>
    <w:p w14:paraId="6CECB94D" w14:textId="508DBA87" w:rsidR="00385068" w:rsidRDefault="00385068" w:rsidP="00DF43D6">
      <w:pPr>
        <w:suppressAutoHyphens/>
        <w:spacing w:line="360" w:lineRule="auto"/>
        <w:rPr>
          <w:color w:val="FF0000"/>
          <w:szCs w:val="20"/>
        </w:rPr>
      </w:pPr>
    </w:p>
    <w:p w14:paraId="6839BB1C" w14:textId="09CC1ADC" w:rsidR="00385068" w:rsidRDefault="00385068" w:rsidP="00DF43D6">
      <w:pPr>
        <w:suppressAutoHyphens/>
        <w:spacing w:line="360" w:lineRule="auto"/>
        <w:rPr>
          <w:color w:val="FF0000"/>
          <w:szCs w:val="20"/>
        </w:rPr>
      </w:pPr>
    </w:p>
    <w:p w14:paraId="66348D00" w14:textId="77777777" w:rsidR="0054748E" w:rsidRPr="00293EA1" w:rsidRDefault="00C12309" w:rsidP="00B96C69">
      <w:pPr>
        <w:suppressAutoHyphens/>
        <w:spacing w:line="360" w:lineRule="auto"/>
        <w:ind w:firstLine="720"/>
        <w:rPr>
          <w:szCs w:val="20"/>
        </w:rPr>
      </w:pPr>
      <w:r w:rsidRPr="00236FE6">
        <w:rPr>
          <w:szCs w:val="20"/>
        </w:rPr>
        <w:t xml:space="preserve">Εξετάζοντας ορισμένους </w:t>
      </w:r>
      <w:r w:rsidR="002B7B5A" w:rsidRPr="00236FE6">
        <w:rPr>
          <w:szCs w:val="20"/>
        </w:rPr>
        <w:t xml:space="preserve">βασικούς χρηματοοικονομικούς δείκτες </w:t>
      </w:r>
      <w:r w:rsidR="00CC154D" w:rsidRPr="00236FE6">
        <w:rPr>
          <w:szCs w:val="20"/>
        </w:rPr>
        <w:t xml:space="preserve">του συνόλου </w:t>
      </w:r>
      <w:r w:rsidR="002B7B5A" w:rsidRPr="00236FE6">
        <w:rPr>
          <w:szCs w:val="20"/>
        </w:rPr>
        <w:t>των επιχειρήσεων</w:t>
      </w:r>
      <w:r w:rsidR="001162BD" w:rsidRPr="00236FE6">
        <w:rPr>
          <w:szCs w:val="20"/>
        </w:rPr>
        <w:t xml:space="preserve"> διαπιστών</w:t>
      </w:r>
      <w:r w:rsidRPr="00236FE6">
        <w:rPr>
          <w:szCs w:val="20"/>
        </w:rPr>
        <w:t>ονται</w:t>
      </w:r>
      <w:r w:rsidR="00236FE6" w:rsidRPr="00236FE6">
        <w:rPr>
          <w:szCs w:val="20"/>
        </w:rPr>
        <w:t xml:space="preserve"> </w:t>
      </w:r>
      <w:r w:rsidRPr="00236FE6">
        <w:rPr>
          <w:szCs w:val="20"/>
        </w:rPr>
        <w:t>οριακές μεταβολές στα περιθώρια κερδοφορίας τους. Συγκεκριμένα, το</w:t>
      </w:r>
      <w:r w:rsidR="002B7B5A" w:rsidRPr="00236FE6">
        <w:rPr>
          <w:szCs w:val="20"/>
        </w:rPr>
        <w:t xml:space="preserve"> </w:t>
      </w:r>
      <w:r w:rsidR="002B7B5A" w:rsidRPr="00236FE6">
        <w:rPr>
          <w:b/>
          <w:szCs w:val="20"/>
        </w:rPr>
        <w:t>περιθώριο μεικτού κέρδους</w:t>
      </w:r>
      <w:r w:rsidR="00CC154D" w:rsidRPr="00236FE6">
        <w:rPr>
          <w:szCs w:val="20"/>
        </w:rPr>
        <w:t xml:space="preserve"> </w:t>
      </w:r>
      <w:r w:rsidRPr="00236FE6">
        <w:rPr>
          <w:szCs w:val="20"/>
        </w:rPr>
        <w:t xml:space="preserve">περιορίστηκε </w:t>
      </w:r>
      <w:r w:rsidR="001162BD" w:rsidRPr="00236FE6">
        <w:rPr>
          <w:szCs w:val="20"/>
        </w:rPr>
        <w:t xml:space="preserve">ελαφρώς κατά </w:t>
      </w:r>
      <w:r w:rsidR="00F72AD2" w:rsidRPr="00236FE6">
        <w:rPr>
          <w:szCs w:val="20"/>
        </w:rPr>
        <w:t>0,95</w:t>
      </w:r>
      <w:r w:rsidR="001162BD" w:rsidRPr="00236FE6">
        <w:rPr>
          <w:szCs w:val="20"/>
        </w:rPr>
        <w:t xml:space="preserve"> </w:t>
      </w:r>
      <w:r w:rsidR="00CC154D" w:rsidRPr="00236FE6">
        <w:rPr>
          <w:szCs w:val="20"/>
        </w:rPr>
        <w:t xml:space="preserve">ποσοστιαίες μονάδες </w:t>
      </w:r>
      <w:r w:rsidR="00492524" w:rsidRPr="00236FE6">
        <w:rPr>
          <w:szCs w:val="20"/>
        </w:rPr>
        <w:t>και διαμορφώθηκε σε</w:t>
      </w:r>
      <w:r w:rsidR="00F72AD2" w:rsidRPr="00236FE6">
        <w:rPr>
          <w:szCs w:val="20"/>
        </w:rPr>
        <w:t xml:space="preserve"> 21,62%</w:t>
      </w:r>
      <w:r w:rsidR="00492524" w:rsidRPr="00236FE6">
        <w:rPr>
          <w:szCs w:val="20"/>
        </w:rPr>
        <w:t xml:space="preserve"> τ</w:t>
      </w:r>
      <w:r w:rsidR="00492524" w:rsidRPr="00236FE6">
        <w:rPr>
          <w:szCs w:val="20"/>
          <w:lang w:val="en-US"/>
        </w:rPr>
        <w:t>o</w:t>
      </w:r>
      <w:r w:rsidRPr="00236FE6">
        <w:rPr>
          <w:szCs w:val="20"/>
        </w:rPr>
        <w:t xml:space="preserve"> 201</w:t>
      </w:r>
      <w:r w:rsidR="00F72AD2" w:rsidRPr="00236FE6">
        <w:rPr>
          <w:szCs w:val="20"/>
        </w:rPr>
        <w:t>8</w:t>
      </w:r>
      <w:r w:rsidRPr="00236FE6">
        <w:rPr>
          <w:szCs w:val="20"/>
        </w:rPr>
        <w:t xml:space="preserve">. Αντίθετα, </w:t>
      </w:r>
      <w:r w:rsidR="002B7B5A" w:rsidRPr="00236FE6">
        <w:rPr>
          <w:szCs w:val="20"/>
        </w:rPr>
        <w:t xml:space="preserve">το </w:t>
      </w:r>
      <w:r w:rsidR="002B7B5A" w:rsidRPr="00236FE6">
        <w:rPr>
          <w:b/>
          <w:szCs w:val="20"/>
        </w:rPr>
        <w:t>περιθώριο καθαρού κέρδους</w:t>
      </w:r>
      <w:r w:rsidR="002B7B5A" w:rsidRPr="00236FE6">
        <w:rPr>
          <w:szCs w:val="20"/>
        </w:rPr>
        <w:t xml:space="preserve"> </w:t>
      </w:r>
      <w:r w:rsidR="00934CDC" w:rsidRPr="00236FE6">
        <w:rPr>
          <w:szCs w:val="20"/>
        </w:rPr>
        <w:t>διευρύνθηκε</w:t>
      </w:r>
      <w:r w:rsidRPr="00236FE6">
        <w:rPr>
          <w:szCs w:val="20"/>
        </w:rPr>
        <w:t xml:space="preserve"> οριακά</w:t>
      </w:r>
      <w:r w:rsidR="00934CDC" w:rsidRPr="00236FE6">
        <w:rPr>
          <w:szCs w:val="20"/>
        </w:rPr>
        <w:t xml:space="preserve"> κατά</w:t>
      </w:r>
      <w:r w:rsidRPr="00236FE6">
        <w:rPr>
          <w:szCs w:val="20"/>
        </w:rPr>
        <w:t xml:space="preserve"> </w:t>
      </w:r>
      <w:r w:rsidR="00F72AD2" w:rsidRPr="00236FE6">
        <w:rPr>
          <w:szCs w:val="20"/>
        </w:rPr>
        <w:t>0,42</w:t>
      </w:r>
      <w:r w:rsidR="00934CDC" w:rsidRPr="00236FE6">
        <w:rPr>
          <w:szCs w:val="20"/>
        </w:rPr>
        <w:t xml:space="preserve"> ποσοστιαίες</w:t>
      </w:r>
      <w:r w:rsidR="003C43DA" w:rsidRPr="00236FE6">
        <w:rPr>
          <w:szCs w:val="20"/>
        </w:rPr>
        <w:t xml:space="preserve"> μονάδ</w:t>
      </w:r>
      <w:r w:rsidR="00934CDC" w:rsidRPr="00236FE6">
        <w:rPr>
          <w:szCs w:val="20"/>
        </w:rPr>
        <w:t>ες</w:t>
      </w:r>
      <w:r w:rsidR="003C43DA" w:rsidRPr="00236FE6">
        <w:rPr>
          <w:szCs w:val="20"/>
        </w:rPr>
        <w:t>,</w:t>
      </w:r>
      <w:r w:rsidRPr="00236FE6">
        <w:rPr>
          <w:szCs w:val="20"/>
        </w:rPr>
        <w:t xml:space="preserve"> σε</w:t>
      </w:r>
      <w:r w:rsidR="00F72AD2" w:rsidRPr="00236FE6">
        <w:rPr>
          <w:szCs w:val="20"/>
        </w:rPr>
        <w:t xml:space="preserve"> 4,0%.</w:t>
      </w:r>
      <w:r w:rsidR="002B7B5A" w:rsidRPr="00293EA1">
        <w:rPr>
          <w:szCs w:val="20"/>
        </w:rPr>
        <w:t xml:space="preserve"> </w:t>
      </w:r>
    </w:p>
    <w:p w14:paraId="0912188A" w14:textId="77777777" w:rsidR="00A8687B" w:rsidRPr="00293EA1" w:rsidRDefault="00A8687B" w:rsidP="002B7B5A">
      <w:pPr>
        <w:suppressAutoHyphens/>
        <w:spacing w:line="360" w:lineRule="auto"/>
        <w:rPr>
          <w:b/>
          <w:szCs w:val="20"/>
        </w:rPr>
      </w:pPr>
    </w:p>
    <w:tbl>
      <w:tblPr>
        <w:tblW w:w="5000" w:type="pct"/>
        <w:jc w:val="center"/>
        <w:tblLook w:val="0000" w:firstRow="0" w:lastRow="0" w:firstColumn="0" w:lastColumn="0" w:noHBand="0" w:noVBand="0"/>
      </w:tblPr>
      <w:tblGrid>
        <w:gridCol w:w="3316"/>
        <w:gridCol w:w="796"/>
        <w:gridCol w:w="793"/>
        <w:gridCol w:w="848"/>
        <w:gridCol w:w="852"/>
        <w:gridCol w:w="758"/>
        <w:gridCol w:w="759"/>
        <w:gridCol w:w="758"/>
        <w:gridCol w:w="758"/>
      </w:tblGrid>
      <w:tr w:rsidR="00293EA1" w:rsidRPr="00293EA1" w14:paraId="4B3E825F" w14:textId="77777777" w:rsidTr="00441C9E">
        <w:trPr>
          <w:trHeight w:val="255"/>
          <w:jc w:val="center"/>
        </w:trPr>
        <w:tc>
          <w:tcPr>
            <w:tcW w:w="5000" w:type="pct"/>
            <w:gridSpan w:val="9"/>
            <w:tcBorders>
              <w:top w:val="nil"/>
              <w:left w:val="nil"/>
              <w:bottom w:val="nil"/>
              <w:right w:val="nil"/>
            </w:tcBorders>
            <w:shd w:val="clear" w:color="auto" w:fill="969696"/>
            <w:noWrap/>
            <w:vAlign w:val="bottom"/>
          </w:tcPr>
          <w:p w14:paraId="164409F4" w14:textId="77777777" w:rsidR="00441C9E" w:rsidRPr="00293EA1" w:rsidRDefault="00441C9E" w:rsidP="00441C9E">
            <w:pPr>
              <w:jc w:val="center"/>
              <w:rPr>
                <w:rFonts w:cs="Arial"/>
                <w:b/>
                <w:bCs/>
                <w:sz w:val="18"/>
                <w:szCs w:val="18"/>
              </w:rPr>
            </w:pPr>
            <w:r w:rsidRPr="00293EA1">
              <w:rPr>
                <w:rFonts w:cs="Arial"/>
                <w:b/>
                <w:bCs/>
                <w:sz w:val="18"/>
                <w:szCs w:val="18"/>
              </w:rPr>
              <w:t>Εταιρικός Τομέας: Βασικοί</w:t>
            </w:r>
            <w:r w:rsidR="00257471" w:rsidRPr="00293EA1">
              <w:rPr>
                <w:rFonts w:cs="Arial"/>
                <w:b/>
                <w:bCs/>
                <w:sz w:val="18"/>
                <w:szCs w:val="18"/>
              </w:rPr>
              <w:t xml:space="preserve"> Χρηματοοικονομικοί Δείκτες </w:t>
            </w:r>
            <w:r w:rsidR="00F72AD2">
              <w:rPr>
                <w:rFonts w:cs="Arial"/>
                <w:b/>
                <w:bCs/>
                <w:sz w:val="18"/>
                <w:szCs w:val="18"/>
              </w:rPr>
              <w:t>2018-2017</w:t>
            </w:r>
          </w:p>
        </w:tc>
      </w:tr>
      <w:tr w:rsidR="00293EA1" w:rsidRPr="00293EA1" w14:paraId="33CA2145" w14:textId="77777777" w:rsidTr="00441C9E">
        <w:trPr>
          <w:trHeight w:val="255"/>
          <w:jc w:val="center"/>
        </w:trPr>
        <w:tc>
          <w:tcPr>
            <w:tcW w:w="5000" w:type="pct"/>
            <w:gridSpan w:val="9"/>
            <w:tcBorders>
              <w:top w:val="nil"/>
              <w:left w:val="nil"/>
              <w:bottom w:val="nil"/>
              <w:right w:val="nil"/>
            </w:tcBorders>
            <w:shd w:val="clear" w:color="auto" w:fill="969696"/>
            <w:noWrap/>
            <w:vAlign w:val="bottom"/>
          </w:tcPr>
          <w:p w14:paraId="381C6136" w14:textId="77777777" w:rsidR="00441C9E" w:rsidRPr="00293EA1" w:rsidRDefault="00441C9E" w:rsidP="00441C9E">
            <w:pPr>
              <w:jc w:val="center"/>
              <w:rPr>
                <w:rFonts w:cs="Arial"/>
                <w:b/>
                <w:bCs/>
                <w:sz w:val="18"/>
                <w:szCs w:val="18"/>
                <w:lang w:val="en-GB"/>
              </w:rPr>
            </w:pPr>
            <w:r w:rsidRPr="00293EA1">
              <w:rPr>
                <w:i/>
                <w:iCs/>
                <w:sz w:val="18"/>
                <w:szCs w:val="18"/>
                <w:lang w:val="en-GB" w:eastAsia="en-US"/>
              </w:rPr>
              <w:t>(</w:t>
            </w:r>
            <w:proofErr w:type="spellStart"/>
            <w:r w:rsidRPr="00293EA1">
              <w:rPr>
                <w:i/>
                <w:iCs/>
                <w:sz w:val="18"/>
                <w:szCs w:val="18"/>
                <w:lang w:val="en-GB" w:eastAsia="en-US"/>
              </w:rPr>
              <w:t>Εξ</w:t>
            </w:r>
            <w:proofErr w:type="spellEnd"/>
            <w:r w:rsidRPr="00293EA1">
              <w:rPr>
                <w:i/>
                <w:iCs/>
                <w:sz w:val="18"/>
                <w:szCs w:val="18"/>
                <w:lang w:val="en-GB" w:eastAsia="en-US"/>
              </w:rPr>
              <w:t xml:space="preserve">αιρουμένων </w:t>
            </w:r>
            <w:proofErr w:type="spellStart"/>
            <w:r w:rsidRPr="00293EA1">
              <w:rPr>
                <w:i/>
                <w:iCs/>
                <w:sz w:val="18"/>
                <w:szCs w:val="18"/>
                <w:lang w:val="en-GB" w:eastAsia="en-US"/>
              </w:rPr>
              <w:t>των</w:t>
            </w:r>
            <w:proofErr w:type="spellEnd"/>
            <w:r w:rsidRPr="00293EA1">
              <w:rPr>
                <w:i/>
                <w:iCs/>
                <w:sz w:val="18"/>
                <w:szCs w:val="18"/>
                <w:lang w:val="en-GB" w:eastAsia="en-US"/>
              </w:rPr>
              <w:t xml:space="preserve"> </w:t>
            </w:r>
            <w:proofErr w:type="spellStart"/>
            <w:r w:rsidRPr="00293EA1">
              <w:rPr>
                <w:i/>
                <w:iCs/>
                <w:sz w:val="18"/>
                <w:szCs w:val="18"/>
                <w:lang w:val="en-GB" w:eastAsia="en-US"/>
              </w:rPr>
              <w:t>Χρημ</w:t>
            </w:r>
            <w:proofErr w:type="spellEnd"/>
            <w:r w:rsidRPr="00293EA1">
              <w:rPr>
                <w:i/>
                <w:iCs/>
                <w:sz w:val="18"/>
                <w:szCs w:val="18"/>
                <w:lang w:val="en-GB" w:eastAsia="en-US"/>
              </w:rPr>
              <w:t>ατοπιστωτικών Υπ</w:t>
            </w:r>
            <w:proofErr w:type="spellStart"/>
            <w:r w:rsidRPr="00293EA1">
              <w:rPr>
                <w:i/>
                <w:iCs/>
                <w:sz w:val="18"/>
                <w:szCs w:val="18"/>
                <w:lang w:val="en-GB" w:eastAsia="en-US"/>
              </w:rPr>
              <w:t>ηρεσιών</w:t>
            </w:r>
            <w:proofErr w:type="spellEnd"/>
            <w:r w:rsidRPr="00293EA1">
              <w:rPr>
                <w:i/>
                <w:iCs/>
                <w:sz w:val="18"/>
                <w:szCs w:val="18"/>
                <w:lang w:val="en-GB" w:eastAsia="en-US"/>
              </w:rPr>
              <w:t>)</w:t>
            </w:r>
          </w:p>
        </w:tc>
      </w:tr>
      <w:tr w:rsidR="00293EA1" w:rsidRPr="00293EA1" w14:paraId="4421D6B1" w14:textId="77777777" w:rsidTr="00321BB7">
        <w:trPr>
          <w:trHeight w:val="255"/>
          <w:jc w:val="center"/>
        </w:trPr>
        <w:tc>
          <w:tcPr>
            <w:tcW w:w="1721" w:type="pct"/>
            <w:tcBorders>
              <w:top w:val="nil"/>
              <w:left w:val="nil"/>
              <w:bottom w:val="nil"/>
              <w:right w:val="nil"/>
            </w:tcBorders>
            <w:shd w:val="clear" w:color="auto" w:fill="969696"/>
            <w:noWrap/>
            <w:vAlign w:val="bottom"/>
          </w:tcPr>
          <w:p w14:paraId="6C6B26EF" w14:textId="77777777" w:rsidR="00441C9E" w:rsidRPr="00293EA1" w:rsidRDefault="00441C9E" w:rsidP="00441C9E">
            <w:pPr>
              <w:jc w:val="left"/>
              <w:rPr>
                <w:rFonts w:cs="Arial"/>
                <w:b/>
                <w:bCs/>
                <w:sz w:val="18"/>
                <w:szCs w:val="18"/>
                <w:lang w:val="en-GB"/>
              </w:rPr>
            </w:pPr>
            <w:r w:rsidRPr="00293EA1">
              <w:rPr>
                <w:rFonts w:cs="Arial"/>
                <w:b/>
                <w:bCs/>
                <w:sz w:val="18"/>
                <w:szCs w:val="18"/>
                <w:lang w:val="en-GB"/>
              </w:rPr>
              <w:t> </w:t>
            </w:r>
          </w:p>
        </w:tc>
        <w:tc>
          <w:tcPr>
            <w:tcW w:w="824" w:type="pct"/>
            <w:gridSpan w:val="2"/>
            <w:tcBorders>
              <w:top w:val="nil"/>
              <w:left w:val="nil"/>
              <w:bottom w:val="nil"/>
              <w:right w:val="nil"/>
            </w:tcBorders>
            <w:shd w:val="clear" w:color="auto" w:fill="969696"/>
            <w:noWrap/>
            <w:vAlign w:val="bottom"/>
          </w:tcPr>
          <w:p w14:paraId="65C19AFA" w14:textId="77777777" w:rsidR="00441C9E" w:rsidRPr="00293EA1" w:rsidRDefault="00441C9E" w:rsidP="00441C9E">
            <w:pPr>
              <w:jc w:val="center"/>
              <w:rPr>
                <w:rFonts w:cs="Arial"/>
                <w:b/>
                <w:bCs/>
                <w:sz w:val="18"/>
                <w:szCs w:val="18"/>
                <w:lang w:val="en-GB"/>
              </w:rPr>
            </w:pPr>
            <w:r w:rsidRPr="00293EA1">
              <w:rPr>
                <w:rFonts w:cs="Arial"/>
                <w:b/>
                <w:bCs/>
                <w:sz w:val="18"/>
                <w:szCs w:val="18"/>
                <w:lang w:val="en-GB"/>
              </w:rPr>
              <w:t>ΠΜΚ %</w:t>
            </w:r>
          </w:p>
        </w:tc>
        <w:tc>
          <w:tcPr>
            <w:tcW w:w="882" w:type="pct"/>
            <w:gridSpan w:val="2"/>
            <w:tcBorders>
              <w:top w:val="nil"/>
              <w:left w:val="nil"/>
              <w:bottom w:val="nil"/>
              <w:right w:val="nil"/>
            </w:tcBorders>
            <w:shd w:val="clear" w:color="auto" w:fill="969696"/>
            <w:noWrap/>
            <w:vAlign w:val="bottom"/>
          </w:tcPr>
          <w:p w14:paraId="4F636846" w14:textId="77777777" w:rsidR="00441C9E" w:rsidRPr="00293EA1" w:rsidRDefault="00441C9E" w:rsidP="00441C9E">
            <w:pPr>
              <w:jc w:val="center"/>
              <w:rPr>
                <w:rFonts w:cs="Arial"/>
                <w:b/>
                <w:bCs/>
                <w:sz w:val="18"/>
                <w:szCs w:val="18"/>
                <w:lang w:val="en-GB"/>
              </w:rPr>
            </w:pPr>
            <w:r w:rsidRPr="00293EA1">
              <w:rPr>
                <w:rFonts w:cs="Arial"/>
                <w:b/>
                <w:bCs/>
                <w:sz w:val="18"/>
                <w:szCs w:val="18"/>
                <w:lang w:val="en-GB"/>
              </w:rPr>
              <w:t>ΠΚΚ %</w:t>
            </w:r>
          </w:p>
        </w:tc>
        <w:tc>
          <w:tcPr>
            <w:tcW w:w="787" w:type="pct"/>
            <w:gridSpan w:val="2"/>
            <w:tcBorders>
              <w:top w:val="nil"/>
              <w:left w:val="nil"/>
              <w:bottom w:val="nil"/>
              <w:right w:val="nil"/>
            </w:tcBorders>
            <w:shd w:val="clear" w:color="auto" w:fill="969696"/>
            <w:noWrap/>
            <w:vAlign w:val="bottom"/>
          </w:tcPr>
          <w:p w14:paraId="33A41E25" w14:textId="77777777" w:rsidR="00441C9E" w:rsidRPr="00293EA1" w:rsidRDefault="00441C9E" w:rsidP="00441C9E">
            <w:pPr>
              <w:jc w:val="center"/>
              <w:rPr>
                <w:rFonts w:cs="Arial"/>
                <w:b/>
                <w:bCs/>
                <w:sz w:val="18"/>
                <w:szCs w:val="18"/>
                <w:lang w:val="en-GB"/>
              </w:rPr>
            </w:pPr>
            <w:r w:rsidRPr="00293EA1">
              <w:rPr>
                <w:rFonts w:cs="Arial"/>
                <w:b/>
                <w:bCs/>
                <w:sz w:val="18"/>
                <w:szCs w:val="18"/>
                <w:lang w:val="en-GB"/>
              </w:rPr>
              <w:t>ΔΕ</w:t>
            </w:r>
          </w:p>
        </w:tc>
        <w:tc>
          <w:tcPr>
            <w:tcW w:w="785" w:type="pct"/>
            <w:gridSpan w:val="2"/>
            <w:tcBorders>
              <w:top w:val="nil"/>
              <w:left w:val="nil"/>
              <w:bottom w:val="nil"/>
              <w:right w:val="nil"/>
            </w:tcBorders>
            <w:shd w:val="clear" w:color="auto" w:fill="969696"/>
            <w:noWrap/>
            <w:vAlign w:val="bottom"/>
          </w:tcPr>
          <w:p w14:paraId="3A254DAE" w14:textId="77777777" w:rsidR="00441C9E" w:rsidRPr="00293EA1" w:rsidRDefault="00441C9E" w:rsidP="00441C9E">
            <w:pPr>
              <w:jc w:val="center"/>
              <w:rPr>
                <w:rFonts w:cs="Arial"/>
                <w:b/>
                <w:bCs/>
                <w:sz w:val="18"/>
                <w:szCs w:val="18"/>
                <w:lang w:val="en-GB"/>
              </w:rPr>
            </w:pPr>
            <w:r w:rsidRPr="00293EA1">
              <w:rPr>
                <w:rFonts w:cs="Arial"/>
                <w:b/>
                <w:bCs/>
                <w:sz w:val="18"/>
                <w:szCs w:val="18"/>
                <w:lang w:val="en-GB"/>
              </w:rPr>
              <w:t>ΓΡ</w:t>
            </w:r>
          </w:p>
        </w:tc>
      </w:tr>
      <w:tr w:rsidR="00321BB7" w:rsidRPr="00293EA1" w14:paraId="75977736" w14:textId="77777777" w:rsidTr="00321BB7">
        <w:trPr>
          <w:trHeight w:val="255"/>
          <w:jc w:val="center"/>
        </w:trPr>
        <w:tc>
          <w:tcPr>
            <w:tcW w:w="1721" w:type="pct"/>
            <w:tcBorders>
              <w:top w:val="nil"/>
              <w:left w:val="nil"/>
              <w:right w:val="nil"/>
            </w:tcBorders>
            <w:shd w:val="clear" w:color="auto" w:fill="969696"/>
            <w:noWrap/>
            <w:vAlign w:val="center"/>
          </w:tcPr>
          <w:p w14:paraId="61360CE8" w14:textId="77777777" w:rsidR="00321BB7" w:rsidRPr="00293EA1" w:rsidRDefault="00321BB7" w:rsidP="00321BB7">
            <w:pPr>
              <w:jc w:val="center"/>
              <w:rPr>
                <w:rFonts w:cs="Arial"/>
                <w:b/>
                <w:bCs/>
                <w:sz w:val="18"/>
                <w:szCs w:val="18"/>
                <w:lang w:val="en-GB"/>
              </w:rPr>
            </w:pPr>
          </w:p>
        </w:tc>
        <w:tc>
          <w:tcPr>
            <w:tcW w:w="413" w:type="pct"/>
            <w:tcBorders>
              <w:top w:val="nil"/>
              <w:left w:val="nil"/>
              <w:right w:val="nil"/>
            </w:tcBorders>
            <w:shd w:val="clear" w:color="auto" w:fill="969696"/>
            <w:noWrap/>
            <w:vAlign w:val="center"/>
          </w:tcPr>
          <w:p w14:paraId="7199FA7E" w14:textId="77777777" w:rsidR="00321BB7" w:rsidRPr="009F4E36" w:rsidRDefault="00321BB7" w:rsidP="00321BB7">
            <w:pPr>
              <w:jc w:val="center"/>
              <w:rPr>
                <w:rFonts w:cs="Arial"/>
                <w:b/>
                <w:bCs/>
                <w:sz w:val="16"/>
                <w:szCs w:val="16"/>
              </w:rPr>
            </w:pPr>
            <w:r>
              <w:rPr>
                <w:rFonts w:cs="Arial"/>
                <w:b/>
                <w:bCs/>
                <w:sz w:val="16"/>
                <w:szCs w:val="16"/>
              </w:rPr>
              <w:t>2018</w:t>
            </w:r>
          </w:p>
        </w:tc>
        <w:tc>
          <w:tcPr>
            <w:tcW w:w="411" w:type="pct"/>
            <w:tcBorders>
              <w:top w:val="nil"/>
              <w:left w:val="nil"/>
              <w:right w:val="nil"/>
            </w:tcBorders>
            <w:shd w:val="clear" w:color="auto" w:fill="969696"/>
            <w:noWrap/>
            <w:vAlign w:val="center"/>
          </w:tcPr>
          <w:p w14:paraId="3B2BA84A" w14:textId="77777777" w:rsidR="00321BB7" w:rsidRPr="009F4E36" w:rsidRDefault="00321BB7" w:rsidP="00321BB7">
            <w:pPr>
              <w:jc w:val="center"/>
              <w:rPr>
                <w:rFonts w:cs="Arial"/>
                <w:b/>
                <w:bCs/>
                <w:sz w:val="16"/>
                <w:szCs w:val="16"/>
              </w:rPr>
            </w:pPr>
            <w:r>
              <w:rPr>
                <w:rFonts w:cs="Arial"/>
                <w:b/>
                <w:bCs/>
                <w:sz w:val="16"/>
                <w:szCs w:val="16"/>
              </w:rPr>
              <w:t>2017</w:t>
            </w:r>
          </w:p>
        </w:tc>
        <w:tc>
          <w:tcPr>
            <w:tcW w:w="440" w:type="pct"/>
            <w:tcBorders>
              <w:top w:val="nil"/>
              <w:left w:val="nil"/>
              <w:right w:val="nil"/>
            </w:tcBorders>
            <w:shd w:val="clear" w:color="auto" w:fill="969696"/>
            <w:noWrap/>
            <w:vAlign w:val="center"/>
          </w:tcPr>
          <w:p w14:paraId="14E3E3BF" w14:textId="77777777" w:rsidR="00321BB7" w:rsidRPr="009F4E36" w:rsidRDefault="00321BB7" w:rsidP="00321BB7">
            <w:pPr>
              <w:jc w:val="center"/>
              <w:rPr>
                <w:rFonts w:cs="Arial"/>
                <w:b/>
                <w:bCs/>
                <w:sz w:val="16"/>
                <w:szCs w:val="16"/>
              </w:rPr>
            </w:pPr>
            <w:r>
              <w:rPr>
                <w:rFonts w:cs="Arial"/>
                <w:b/>
                <w:bCs/>
                <w:sz w:val="16"/>
                <w:szCs w:val="16"/>
              </w:rPr>
              <w:t>2018</w:t>
            </w:r>
          </w:p>
        </w:tc>
        <w:tc>
          <w:tcPr>
            <w:tcW w:w="442" w:type="pct"/>
            <w:tcBorders>
              <w:top w:val="nil"/>
              <w:left w:val="nil"/>
              <w:right w:val="nil"/>
            </w:tcBorders>
            <w:shd w:val="clear" w:color="auto" w:fill="969696"/>
            <w:noWrap/>
            <w:vAlign w:val="center"/>
          </w:tcPr>
          <w:p w14:paraId="05A4C718" w14:textId="77777777" w:rsidR="00321BB7" w:rsidRPr="009F4E36" w:rsidRDefault="00321BB7" w:rsidP="00321BB7">
            <w:pPr>
              <w:jc w:val="center"/>
              <w:rPr>
                <w:rFonts w:cs="Arial"/>
                <w:b/>
                <w:bCs/>
                <w:sz w:val="16"/>
                <w:szCs w:val="16"/>
              </w:rPr>
            </w:pPr>
            <w:r>
              <w:rPr>
                <w:rFonts w:cs="Arial"/>
                <w:b/>
                <w:bCs/>
                <w:sz w:val="16"/>
                <w:szCs w:val="16"/>
              </w:rPr>
              <w:t>2017</w:t>
            </w:r>
          </w:p>
        </w:tc>
        <w:tc>
          <w:tcPr>
            <w:tcW w:w="393" w:type="pct"/>
            <w:tcBorders>
              <w:top w:val="nil"/>
              <w:left w:val="nil"/>
              <w:right w:val="nil"/>
            </w:tcBorders>
            <w:shd w:val="clear" w:color="auto" w:fill="969696"/>
            <w:noWrap/>
            <w:vAlign w:val="center"/>
          </w:tcPr>
          <w:p w14:paraId="1D7699BF" w14:textId="77777777" w:rsidR="00321BB7" w:rsidRPr="009F4E36" w:rsidRDefault="00321BB7" w:rsidP="00321BB7">
            <w:pPr>
              <w:jc w:val="center"/>
              <w:rPr>
                <w:rFonts w:cs="Arial"/>
                <w:b/>
                <w:bCs/>
                <w:sz w:val="16"/>
                <w:szCs w:val="16"/>
              </w:rPr>
            </w:pPr>
            <w:r>
              <w:rPr>
                <w:rFonts w:cs="Arial"/>
                <w:b/>
                <w:bCs/>
                <w:sz w:val="16"/>
                <w:szCs w:val="16"/>
              </w:rPr>
              <w:t>2018</w:t>
            </w:r>
          </w:p>
        </w:tc>
        <w:tc>
          <w:tcPr>
            <w:tcW w:w="394" w:type="pct"/>
            <w:tcBorders>
              <w:top w:val="nil"/>
              <w:left w:val="nil"/>
              <w:right w:val="nil"/>
            </w:tcBorders>
            <w:shd w:val="clear" w:color="auto" w:fill="969696"/>
            <w:noWrap/>
            <w:vAlign w:val="center"/>
          </w:tcPr>
          <w:p w14:paraId="69F4E670" w14:textId="77777777" w:rsidR="00321BB7" w:rsidRPr="009F4E36" w:rsidRDefault="00321BB7" w:rsidP="00321BB7">
            <w:pPr>
              <w:jc w:val="center"/>
              <w:rPr>
                <w:rFonts w:cs="Arial"/>
                <w:b/>
                <w:bCs/>
                <w:sz w:val="16"/>
                <w:szCs w:val="16"/>
              </w:rPr>
            </w:pPr>
            <w:r>
              <w:rPr>
                <w:rFonts w:cs="Arial"/>
                <w:b/>
                <w:bCs/>
                <w:sz w:val="16"/>
                <w:szCs w:val="16"/>
              </w:rPr>
              <w:t>2017</w:t>
            </w:r>
          </w:p>
        </w:tc>
        <w:tc>
          <w:tcPr>
            <w:tcW w:w="393" w:type="pct"/>
            <w:tcBorders>
              <w:top w:val="nil"/>
              <w:left w:val="nil"/>
              <w:right w:val="nil"/>
            </w:tcBorders>
            <w:shd w:val="clear" w:color="auto" w:fill="969696"/>
            <w:noWrap/>
            <w:vAlign w:val="center"/>
          </w:tcPr>
          <w:p w14:paraId="73393D69" w14:textId="77777777" w:rsidR="00321BB7" w:rsidRPr="009F4E36" w:rsidRDefault="00321BB7" w:rsidP="00321BB7">
            <w:pPr>
              <w:jc w:val="center"/>
              <w:rPr>
                <w:rFonts w:cs="Arial"/>
                <w:b/>
                <w:bCs/>
                <w:sz w:val="16"/>
                <w:szCs w:val="16"/>
              </w:rPr>
            </w:pPr>
            <w:r>
              <w:rPr>
                <w:rFonts w:cs="Arial"/>
                <w:b/>
                <w:bCs/>
                <w:sz w:val="16"/>
                <w:szCs w:val="16"/>
              </w:rPr>
              <w:t>2018</w:t>
            </w:r>
          </w:p>
        </w:tc>
        <w:tc>
          <w:tcPr>
            <w:tcW w:w="392" w:type="pct"/>
            <w:tcBorders>
              <w:top w:val="nil"/>
              <w:left w:val="nil"/>
              <w:right w:val="nil"/>
            </w:tcBorders>
            <w:shd w:val="clear" w:color="auto" w:fill="969696"/>
            <w:noWrap/>
            <w:vAlign w:val="center"/>
          </w:tcPr>
          <w:p w14:paraId="75F5E678" w14:textId="77777777" w:rsidR="00321BB7" w:rsidRPr="009F4E36" w:rsidRDefault="00321BB7" w:rsidP="00321BB7">
            <w:pPr>
              <w:jc w:val="center"/>
              <w:rPr>
                <w:rFonts w:cs="Arial"/>
                <w:b/>
                <w:bCs/>
                <w:sz w:val="16"/>
                <w:szCs w:val="16"/>
              </w:rPr>
            </w:pPr>
            <w:r>
              <w:rPr>
                <w:rFonts w:cs="Arial"/>
                <w:b/>
                <w:bCs/>
                <w:sz w:val="16"/>
                <w:szCs w:val="16"/>
              </w:rPr>
              <w:t>2017</w:t>
            </w:r>
          </w:p>
        </w:tc>
      </w:tr>
      <w:tr w:rsidR="00321BB7" w:rsidRPr="00293EA1" w14:paraId="1FC2613E" w14:textId="77777777" w:rsidTr="00321BB7">
        <w:trPr>
          <w:trHeight w:val="255"/>
          <w:jc w:val="center"/>
        </w:trPr>
        <w:tc>
          <w:tcPr>
            <w:tcW w:w="1721" w:type="pct"/>
            <w:tcBorders>
              <w:top w:val="nil"/>
              <w:left w:val="nil"/>
              <w:bottom w:val="nil"/>
              <w:right w:val="nil"/>
            </w:tcBorders>
            <w:shd w:val="clear" w:color="auto" w:fill="C0C0C0"/>
            <w:noWrap/>
            <w:vAlign w:val="center"/>
          </w:tcPr>
          <w:p w14:paraId="4EC548EE" w14:textId="77777777" w:rsidR="00321BB7" w:rsidRPr="00293EA1" w:rsidRDefault="00321BB7" w:rsidP="00321BB7">
            <w:pPr>
              <w:jc w:val="left"/>
              <w:rPr>
                <w:rFonts w:cs="Arial"/>
                <w:sz w:val="18"/>
                <w:szCs w:val="18"/>
                <w:lang w:val="en-GB"/>
              </w:rPr>
            </w:pPr>
            <w:proofErr w:type="spellStart"/>
            <w:r w:rsidRPr="00293EA1">
              <w:rPr>
                <w:rFonts w:cs="Arial"/>
                <w:sz w:val="18"/>
                <w:szCs w:val="18"/>
                <w:lang w:val="en-GB"/>
              </w:rPr>
              <w:t>Γεωργί</w:t>
            </w:r>
            <w:proofErr w:type="spellEnd"/>
            <w:r w:rsidRPr="00293EA1">
              <w:rPr>
                <w:rFonts w:cs="Arial"/>
                <w:sz w:val="18"/>
                <w:szCs w:val="18"/>
                <w:lang w:val="en-GB"/>
              </w:rPr>
              <w:t>α-</w:t>
            </w:r>
            <w:r w:rsidRPr="00293EA1">
              <w:rPr>
                <w:rFonts w:cs="Arial"/>
                <w:sz w:val="18"/>
                <w:szCs w:val="18"/>
              </w:rPr>
              <w:t>α</w:t>
            </w:r>
            <w:proofErr w:type="spellStart"/>
            <w:r w:rsidRPr="00293EA1">
              <w:rPr>
                <w:rFonts w:cs="Arial"/>
                <w:sz w:val="18"/>
                <w:szCs w:val="18"/>
                <w:lang w:val="en-GB"/>
              </w:rPr>
              <w:t>λιεί</w:t>
            </w:r>
            <w:proofErr w:type="spellEnd"/>
            <w:r w:rsidRPr="00293EA1">
              <w:rPr>
                <w:rFonts w:cs="Arial"/>
                <w:sz w:val="18"/>
                <w:szCs w:val="18"/>
                <w:lang w:val="en-GB"/>
              </w:rPr>
              <w:t>α</w:t>
            </w:r>
          </w:p>
        </w:tc>
        <w:tc>
          <w:tcPr>
            <w:tcW w:w="413" w:type="pct"/>
            <w:tcBorders>
              <w:top w:val="nil"/>
              <w:left w:val="nil"/>
              <w:bottom w:val="nil"/>
              <w:right w:val="nil"/>
            </w:tcBorders>
            <w:shd w:val="clear" w:color="auto" w:fill="C0C0C0"/>
            <w:noWrap/>
            <w:vAlign w:val="bottom"/>
          </w:tcPr>
          <w:p w14:paraId="018BA51C" w14:textId="77777777" w:rsidR="00321BB7" w:rsidRPr="00321BB7" w:rsidRDefault="00321BB7" w:rsidP="00321BB7">
            <w:pPr>
              <w:jc w:val="right"/>
              <w:rPr>
                <w:sz w:val="18"/>
                <w:szCs w:val="18"/>
              </w:rPr>
            </w:pPr>
            <w:r w:rsidRPr="00321BB7">
              <w:rPr>
                <w:sz w:val="18"/>
                <w:szCs w:val="18"/>
              </w:rPr>
              <w:t>22,41</w:t>
            </w:r>
          </w:p>
        </w:tc>
        <w:tc>
          <w:tcPr>
            <w:tcW w:w="411" w:type="pct"/>
            <w:tcBorders>
              <w:top w:val="nil"/>
              <w:left w:val="nil"/>
              <w:bottom w:val="nil"/>
              <w:right w:val="nil"/>
            </w:tcBorders>
            <w:shd w:val="clear" w:color="auto" w:fill="C0C0C0"/>
            <w:noWrap/>
            <w:vAlign w:val="bottom"/>
          </w:tcPr>
          <w:p w14:paraId="6549E40F" w14:textId="77777777" w:rsidR="00321BB7" w:rsidRPr="00321BB7" w:rsidRDefault="00321BB7" w:rsidP="00321BB7">
            <w:pPr>
              <w:jc w:val="right"/>
              <w:rPr>
                <w:sz w:val="18"/>
                <w:szCs w:val="18"/>
              </w:rPr>
            </w:pPr>
            <w:r w:rsidRPr="00321BB7">
              <w:rPr>
                <w:sz w:val="18"/>
                <w:szCs w:val="18"/>
              </w:rPr>
              <w:t>24,77</w:t>
            </w:r>
          </w:p>
        </w:tc>
        <w:tc>
          <w:tcPr>
            <w:tcW w:w="440" w:type="pct"/>
            <w:tcBorders>
              <w:top w:val="nil"/>
              <w:left w:val="nil"/>
              <w:bottom w:val="nil"/>
              <w:right w:val="nil"/>
            </w:tcBorders>
            <w:shd w:val="clear" w:color="auto" w:fill="C0C0C0"/>
            <w:noWrap/>
            <w:vAlign w:val="bottom"/>
          </w:tcPr>
          <w:p w14:paraId="5EBEF8D4" w14:textId="77777777" w:rsidR="00321BB7" w:rsidRPr="00321BB7" w:rsidRDefault="00321BB7" w:rsidP="00321BB7">
            <w:pPr>
              <w:jc w:val="right"/>
              <w:rPr>
                <w:sz w:val="18"/>
                <w:szCs w:val="18"/>
              </w:rPr>
            </w:pPr>
            <w:r w:rsidRPr="00321BB7">
              <w:rPr>
                <w:sz w:val="18"/>
                <w:szCs w:val="18"/>
              </w:rPr>
              <w:t>-3,08</w:t>
            </w:r>
          </w:p>
        </w:tc>
        <w:tc>
          <w:tcPr>
            <w:tcW w:w="442" w:type="pct"/>
            <w:tcBorders>
              <w:top w:val="nil"/>
              <w:left w:val="nil"/>
              <w:bottom w:val="nil"/>
              <w:right w:val="nil"/>
            </w:tcBorders>
            <w:shd w:val="clear" w:color="auto" w:fill="C0C0C0"/>
            <w:noWrap/>
            <w:vAlign w:val="bottom"/>
          </w:tcPr>
          <w:p w14:paraId="5F5CB91A" w14:textId="77777777" w:rsidR="00321BB7" w:rsidRPr="00321BB7" w:rsidRDefault="00321BB7" w:rsidP="00321BB7">
            <w:pPr>
              <w:jc w:val="right"/>
              <w:rPr>
                <w:sz w:val="18"/>
                <w:szCs w:val="18"/>
              </w:rPr>
            </w:pPr>
            <w:r w:rsidRPr="00321BB7">
              <w:rPr>
                <w:sz w:val="18"/>
                <w:szCs w:val="18"/>
              </w:rPr>
              <w:t>2,71</w:t>
            </w:r>
          </w:p>
        </w:tc>
        <w:tc>
          <w:tcPr>
            <w:tcW w:w="393" w:type="pct"/>
            <w:tcBorders>
              <w:top w:val="nil"/>
              <w:left w:val="nil"/>
              <w:bottom w:val="nil"/>
              <w:right w:val="nil"/>
            </w:tcBorders>
            <w:shd w:val="clear" w:color="auto" w:fill="C0C0C0"/>
            <w:noWrap/>
            <w:vAlign w:val="bottom"/>
          </w:tcPr>
          <w:p w14:paraId="0335FD5B" w14:textId="77777777" w:rsidR="00321BB7" w:rsidRPr="00321BB7" w:rsidRDefault="00321BB7" w:rsidP="00321BB7">
            <w:pPr>
              <w:jc w:val="right"/>
              <w:rPr>
                <w:sz w:val="18"/>
                <w:szCs w:val="18"/>
              </w:rPr>
            </w:pPr>
            <w:r w:rsidRPr="00321BB7">
              <w:rPr>
                <w:sz w:val="18"/>
                <w:szCs w:val="18"/>
              </w:rPr>
              <w:t>0,71</w:t>
            </w:r>
          </w:p>
        </w:tc>
        <w:tc>
          <w:tcPr>
            <w:tcW w:w="394" w:type="pct"/>
            <w:tcBorders>
              <w:top w:val="nil"/>
              <w:left w:val="nil"/>
              <w:bottom w:val="nil"/>
              <w:right w:val="nil"/>
            </w:tcBorders>
            <w:shd w:val="clear" w:color="auto" w:fill="C0C0C0"/>
            <w:noWrap/>
            <w:vAlign w:val="bottom"/>
          </w:tcPr>
          <w:p w14:paraId="4945368B" w14:textId="77777777" w:rsidR="00321BB7" w:rsidRPr="00321BB7" w:rsidRDefault="00321BB7" w:rsidP="00321BB7">
            <w:pPr>
              <w:jc w:val="right"/>
              <w:rPr>
                <w:sz w:val="18"/>
                <w:szCs w:val="18"/>
              </w:rPr>
            </w:pPr>
            <w:r w:rsidRPr="00321BB7">
              <w:rPr>
                <w:sz w:val="18"/>
                <w:szCs w:val="18"/>
              </w:rPr>
              <w:t>0,67</w:t>
            </w:r>
          </w:p>
        </w:tc>
        <w:tc>
          <w:tcPr>
            <w:tcW w:w="393" w:type="pct"/>
            <w:tcBorders>
              <w:top w:val="nil"/>
              <w:left w:val="nil"/>
              <w:bottom w:val="nil"/>
              <w:right w:val="nil"/>
            </w:tcBorders>
            <w:shd w:val="clear" w:color="auto" w:fill="C0C0C0"/>
            <w:noWrap/>
            <w:vAlign w:val="bottom"/>
          </w:tcPr>
          <w:p w14:paraId="7F4A4BF6" w14:textId="77777777" w:rsidR="00321BB7" w:rsidRPr="00321BB7" w:rsidRDefault="00321BB7" w:rsidP="00321BB7">
            <w:pPr>
              <w:jc w:val="right"/>
              <w:rPr>
                <w:sz w:val="18"/>
                <w:szCs w:val="18"/>
              </w:rPr>
            </w:pPr>
            <w:r w:rsidRPr="00321BB7">
              <w:rPr>
                <w:sz w:val="18"/>
                <w:szCs w:val="18"/>
              </w:rPr>
              <w:t>1,47</w:t>
            </w:r>
          </w:p>
        </w:tc>
        <w:tc>
          <w:tcPr>
            <w:tcW w:w="392" w:type="pct"/>
            <w:tcBorders>
              <w:top w:val="nil"/>
              <w:left w:val="nil"/>
              <w:bottom w:val="nil"/>
              <w:right w:val="nil"/>
            </w:tcBorders>
            <w:shd w:val="clear" w:color="auto" w:fill="C0C0C0"/>
            <w:noWrap/>
            <w:vAlign w:val="bottom"/>
          </w:tcPr>
          <w:p w14:paraId="60510890" w14:textId="77777777" w:rsidR="00321BB7" w:rsidRPr="00321BB7" w:rsidRDefault="00321BB7" w:rsidP="00321BB7">
            <w:pPr>
              <w:jc w:val="right"/>
              <w:rPr>
                <w:sz w:val="18"/>
                <w:szCs w:val="18"/>
              </w:rPr>
            </w:pPr>
            <w:r w:rsidRPr="00321BB7">
              <w:rPr>
                <w:sz w:val="18"/>
                <w:szCs w:val="18"/>
              </w:rPr>
              <w:t>1,57</w:t>
            </w:r>
          </w:p>
        </w:tc>
      </w:tr>
      <w:tr w:rsidR="00321BB7" w:rsidRPr="00293EA1" w14:paraId="5806C7AA" w14:textId="77777777" w:rsidTr="00321BB7">
        <w:trPr>
          <w:trHeight w:val="255"/>
          <w:jc w:val="center"/>
        </w:trPr>
        <w:tc>
          <w:tcPr>
            <w:tcW w:w="1721" w:type="pct"/>
            <w:tcBorders>
              <w:top w:val="nil"/>
              <w:left w:val="nil"/>
              <w:right w:val="nil"/>
            </w:tcBorders>
            <w:shd w:val="clear" w:color="auto" w:fill="auto"/>
            <w:noWrap/>
            <w:vAlign w:val="center"/>
          </w:tcPr>
          <w:p w14:paraId="7F1954B2" w14:textId="77777777" w:rsidR="00321BB7" w:rsidRPr="00293EA1" w:rsidRDefault="00321BB7" w:rsidP="00321BB7">
            <w:pPr>
              <w:jc w:val="left"/>
              <w:rPr>
                <w:rFonts w:cs="Arial"/>
                <w:sz w:val="18"/>
                <w:szCs w:val="18"/>
                <w:lang w:val="en-GB"/>
              </w:rPr>
            </w:pPr>
            <w:proofErr w:type="spellStart"/>
            <w:r w:rsidRPr="00293EA1">
              <w:rPr>
                <w:rFonts w:cs="Arial"/>
                <w:sz w:val="18"/>
                <w:szCs w:val="18"/>
                <w:lang w:val="en-GB"/>
              </w:rPr>
              <w:t>Ορυχεί</w:t>
            </w:r>
            <w:proofErr w:type="spellEnd"/>
            <w:r w:rsidRPr="00293EA1">
              <w:rPr>
                <w:rFonts w:cs="Arial"/>
                <w:sz w:val="18"/>
                <w:szCs w:val="18"/>
                <w:lang w:val="en-GB"/>
              </w:rPr>
              <w:t>α-</w:t>
            </w:r>
            <w:r w:rsidRPr="00293EA1">
              <w:rPr>
                <w:rFonts w:cs="Arial"/>
                <w:sz w:val="18"/>
                <w:szCs w:val="18"/>
              </w:rPr>
              <w:t>λ</w:t>
            </w:r>
            <w:r w:rsidRPr="00293EA1">
              <w:rPr>
                <w:rFonts w:cs="Arial"/>
                <w:sz w:val="18"/>
                <w:szCs w:val="18"/>
                <w:lang w:val="en-GB"/>
              </w:rPr>
              <w:t>α</w:t>
            </w:r>
            <w:proofErr w:type="spellStart"/>
            <w:r w:rsidRPr="00293EA1">
              <w:rPr>
                <w:rFonts w:cs="Arial"/>
                <w:sz w:val="18"/>
                <w:szCs w:val="18"/>
                <w:lang w:val="en-GB"/>
              </w:rPr>
              <w:t>τομεί</w:t>
            </w:r>
            <w:proofErr w:type="spellEnd"/>
            <w:r w:rsidRPr="00293EA1">
              <w:rPr>
                <w:rFonts w:cs="Arial"/>
                <w:sz w:val="18"/>
                <w:szCs w:val="18"/>
                <w:lang w:val="en-GB"/>
              </w:rPr>
              <w:t>α</w:t>
            </w:r>
          </w:p>
        </w:tc>
        <w:tc>
          <w:tcPr>
            <w:tcW w:w="413" w:type="pct"/>
            <w:tcBorders>
              <w:top w:val="nil"/>
              <w:left w:val="nil"/>
              <w:right w:val="nil"/>
            </w:tcBorders>
            <w:shd w:val="clear" w:color="auto" w:fill="auto"/>
            <w:noWrap/>
            <w:vAlign w:val="bottom"/>
          </w:tcPr>
          <w:p w14:paraId="09D33451" w14:textId="77777777" w:rsidR="00321BB7" w:rsidRPr="00321BB7" w:rsidRDefault="00321BB7" w:rsidP="00321BB7">
            <w:pPr>
              <w:jc w:val="right"/>
              <w:rPr>
                <w:sz w:val="18"/>
                <w:szCs w:val="18"/>
              </w:rPr>
            </w:pPr>
            <w:r w:rsidRPr="00321BB7">
              <w:rPr>
                <w:sz w:val="18"/>
                <w:szCs w:val="18"/>
              </w:rPr>
              <w:t>21,17</w:t>
            </w:r>
          </w:p>
        </w:tc>
        <w:tc>
          <w:tcPr>
            <w:tcW w:w="411" w:type="pct"/>
            <w:tcBorders>
              <w:top w:val="nil"/>
              <w:left w:val="nil"/>
              <w:right w:val="nil"/>
            </w:tcBorders>
            <w:shd w:val="clear" w:color="auto" w:fill="auto"/>
            <w:noWrap/>
            <w:vAlign w:val="bottom"/>
          </w:tcPr>
          <w:p w14:paraId="068AC073" w14:textId="77777777" w:rsidR="00321BB7" w:rsidRPr="00321BB7" w:rsidRDefault="00321BB7" w:rsidP="00321BB7">
            <w:pPr>
              <w:jc w:val="right"/>
              <w:rPr>
                <w:sz w:val="18"/>
                <w:szCs w:val="18"/>
              </w:rPr>
            </w:pPr>
            <w:r w:rsidRPr="00321BB7">
              <w:rPr>
                <w:sz w:val="18"/>
                <w:szCs w:val="18"/>
              </w:rPr>
              <w:t>18,80</w:t>
            </w:r>
          </w:p>
        </w:tc>
        <w:tc>
          <w:tcPr>
            <w:tcW w:w="440" w:type="pct"/>
            <w:tcBorders>
              <w:top w:val="nil"/>
              <w:left w:val="nil"/>
              <w:right w:val="nil"/>
            </w:tcBorders>
            <w:shd w:val="clear" w:color="auto" w:fill="auto"/>
            <w:noWrap/>
            <w:vAlign w:val="bottom"/>
          </w:tcPr>
          <w:p w14:paraId="1405B806" w14:textId="77777777" w:rsidR="00321BB7" w:rsidRPr="00321BB7" w:rsidRDefault="00321BB7" w:rsidP="00321BB7">
            <w:pPr>
              <w:jc w:val="right"/>
              <w:rPr>
                <w:sz w:val="18"/>
                <w:szCs w:val="18"/>
              </w:rPr>
            </w:pPr>
            <w:r w:rsidRPr="00321BB7">
              <w:rPr>
                <w:sz w:val="18"/>
                <w:szCs w:val="18"/>
              </w:rPr>
              <w:t>-9,63</w:t>
            </w:r>
          </w:p>
        </w:tc>
        <w:tc>
          <w:tcPr>
            <w:tcW w:w="442" w:type="pct"/>
            <w:tcBorders>
              <w:top w:val="nil"/>
              <w:left w:val="nil"/>
              <w:right w:val="nil"/>
            </w:tcBorders>
            <w:shd w:val="clear" w:color="auto" w:fill="auto"/>
            <w:noWrap/>
            <w:vAlign w:val="bottom"/>
          </w:tcPr>
          <w:p w14:paraId="3A717328" w14:textId="77777777" w:rsidR="00321BB7" w:rsidRPr="00321BB7" w:rsidRDefault="00321BB7" w:rsidP="00321BB7">
            <w:pPr>
              <w:jc w:val="right"/>
              <w:rPr>
                <w:sz w:val="18"/>
                <w:szCs w:val="18"/>
              </w:rPr>
            </w:pPr>
            <w:r w:rsidRPr="00321BB7">
              <w:rPr>
                <w:sz w:val="18"/>
                <w:szCs w:val="18"/>
              </w:rPr>
              <w:t>12,85</w:t>
            </w:r>
          </w:p>
        </w:tc>
        <w:tc>
          <w:tcPr>
            <w:tcW w:w="393" w:type="pct"/>
            <w:tcBorders>
              <w:top w:val="nil"/>
              <w:left w:val="nil"/>
              <w:right w:val="nil"/>
            </w:tcBorders>
            <w:shd w:val="clear" w:color="auto" w:fill="auto"/>
            <w:noWrap/>
            <w:vAlign w:val="bottom"/>
          </w:tcPr>
          <w:p w14:paraId="2D5B891E" w14:textId="77777777" w:rsidR="00321BB7" w:rsidRPr="00321BB7" w:rsidRDefault="00321BB7" w:rsidP="00321BB7">
            <w:pPr>
              <w:jc w:val="right"/>
              <w:rPr>
                <w:sz w:val="18"/>
                <w:szCs w:val="18"/>
              </w:rPr>
            </w:pPr>
            <w:r w:rsidRPr="00321BB7">
              <w:rPr>
                <w:sz w:val="18"/>
                <w:szCs w:val="18"/>
              </w:rPr>
              <w:t>0,73</w:t>
            </w:r>
          </w:p>
        </w:tc>
        <w:tc>
          <w:tcPr>
            <w:tcW w:w="394" w:type="pct"/>
            <w:tcBorders>
              <w:top w:val="nil"/>
              <w:left w:val="nil"/>
              <w:right w:val="nil"/>
            </w:tcBorders>
            <w:shd w:val="clear" w:color="auto" w:fill="auto"/>
            <w:noWrap/>
            <w:vAlign w:val="bottom"/>
          </w:tcPr>
          <w:p w14:paraId="2BA81798" w14:textId="77777777" w:rsidR="00321BB7" w:rsidRPr="00321BB7" w:rsidRDefault="00321BB7" w:rsidP="00321BB7">
            <w:pPr>
              <w:jc w:val="right"/>
              <w:rPr>
                <w:sz w:val="18"/>
                <w:szCs w:val="18"/>
              </w:rPr>
            </w:pPr>
            <w:r w:rsidRPr="00321BB7">
              <w:rPr>
                <w:sz w:val="18"/>
                <w:szCs w:val="18"/>
              </w:rPr>
              <w:t>0,80</w:t>
            </w:r>
          </w:p>
        </w:tc>
        <w:tc>
          <w:tcPr>
            <w:tcW w:w="393" w:type="pct"/>
            <w:tcBorders>
              <w:top w:val="nil"/>
              <w:left w:val="nil"/>
              <w:right w:val="nil"/>
            </w:tcBorders>
            <w:shd w:val="clear" w:color="auto" w:fill="auto"/>
            <w:noWrap/>
            <w:vAlign w:val="bottom"/>
          </w:tcPr>
          <w:p w14:paraId="6A9DF7EF" w14:textId="77777777" w:rsidR="00321BB7" w:rsidRPr="00321BB7" w:rsidRDefault="00321BB7" w:rsidP="00321BB7">
            <w:pPr>
              <w:jc w:val="right"/>
              <w:rPr>
                <w:sz w:val="18"/>
                <w:szCs w:val="18"/>
              </w:rPr>
            </w:pPr>
            <w:r w:rsidRPr="00321BB7">
              <w:rPr>
                <w:sz w:val="18"/>
                <w:szCs w:val="18"/>
              </w:rPr>
              <w:t>1,01</w:t>
            </w:r>
          </w:p>
        </w:tc>
        <w:tc>
          <w:tcPr>
            <w:tcW w:w="392" w:type="pct"/>
            <w:tcBorders>
              <w:top w:val="nil"/>
              <w:left w:val="nil"/>
              <w:right w:val="nil"/>
            </w:tcBorders>
            <w:shd w:val="clear" w:color="auto" w:fill="auto"/>
            <w:noWrap/>
            <w:vAlign w:val="bottom"/>
          </w:tcPr>
          <w:p w14:paraId="493D843C" w14:textId="77777777" w:rsidR="00321BB7" w:rsidRPr="00321BB7" w:rsidRDefault="00321BB7" w:rsidP="00321BB7">
            <w:pPr>
              <w:jc w:val="right"/>
              <w:rPr>
                <w:sz w:val="18"/>
                <w:szCs w:val="18"/>
              </w:rPr>
            </w:pPr>
            <w:r w:rsidRPr="00321BB7">
              <w:rPr>
                <w:sz w:val="18"/>
                <w:szCs w:val="18"/>
              </w:rPr>
              <w:t>1,37</w:t>
            </w:r>
          </w:p>
        </w:tc>
      </w:tr>
      <w:tr w:rsidR="00321BB7" w:rsidRPr="00293EA1" w14:paraId="29258642" w14:textId="77777777" w:rsidTr="00321BB7">
        <w:trPr>
          <w:trHeight w:val="255"/>
          <w:jc w:val="center"/>
        </w:trPr>
        <w:tc>
          <w:tcPr>
            <w:tcW w:w="1721" w:type="pct"/>
            <w:tcBorders>
              <w:top w:val="nil"/>
              <w:left w:val="nil"/>
              <w:bottom w:val="nil"/>
              <w:right w:val="nil"/>
            </w:tcBorders>
            <w:shd w:val="clear" w:color="auto" w:fill="C0C0C0"/>
            <w:noWrap/>
            <w:vAlign w:val="center"/>
          </w:tcPr>
          <w:p w14:paraId="1726A4BE" w14:textId="77777777" w:rsidR="00321BB7" w:rsidRPr="00293EA1" w:rsidRDefault="00321BB7" w:rsidP="00321BB7">
            <w:pPr>
              <w:jc w:val="left"/>
              <w:rPr>
                <w:rFonts w:cs="Arial"/>
                <w:sz w:val="18"/>
                <w:szCs w:val="18"/>
                <w:lang w:val="en-GB"/>
              </w:rPr>
            </w:pPr>
            <w:proofErr w:type="spellStart"/>
            <w:r w:rsidRPr="00293EA1">
              <w:rPr>
                <w:rFonts w:cs="Arial"/>
                <w:sz w:val="18"/>
                <w:szCs w:val="18"/>
                <w:lang w:val="en-GB"/>
              </w:rPr>
              <w:t>Μετ</w:t>
            </w:r>
            <w:proofErr w:type="spellEnd"/>
            <w:r w:rsidRPr="00293EA1">
              <w:rPr>
                <w:rFonts w:cs="Arial"/>
                <w:sz w:val="18"/>
                <w:szCs w:val="18"/>
                <w:lang w:val="en-GB"/>
              </w:rPr>
              <w:t>αποίηση</w:t>
            </w:r>
          </w:p>
        </w:tc>
        <w:tc>
          <w:tcPr>
            <w:tcW w:w="413" w:type="pct"/>
            <w:tcBorders>
              <w:top w:val="nil"/>
              <w:left w:val="nil"/>
              <w:bottom w:val="nil"/>
              <w:right w:val="nil"/>
            </w:tcBorders>
            <w:shd w:val="clear" w:color="auto" w:fill="C0C0C0"/>
            <w:noWrap/>
            <w:vAlign w:val="bottom"/>
          </w:tcPr>
          <w:p w14:paraId="408ADAA6" w14:textId="77777777" w:rsidR="00321BB7" w:rsidRPr="00321BB7" w:rsidRDefault="00321BB7" w:rsidP="00321BB7">
            <w:pPr>
              <w:jc w:val="right"/>
              <w:rPr>
                <w:sz w:val="18"/>
                <w:szCs w:val="18"/>
              </w:rPr>
            </w:pPr>
            <w:r w:rsidRPr="00321BB7">
              <w:rPr>
                <w:sz w:val="18"/>
                <w:szCs w:val="18"/>
              </w:rPr>
              <w:t>17,35</w:t>
            </w:r>
          </w:p>
        </w:tc>
        <w:tc>
          <w:tcPr>
            <w:tcW w:w="411" w:type="pct"/>
            <w:tcBorders>
              <w:top w:val="nil"/>
              <w:left w:val="nil"/>
              <w:bottom w:val="nil"/>
              <w:right w:val="nil"/>
            </w:tcBorders>
            <w:shd w:val="clear" w:color="auto" w:fill="C0C0C0"/>
            <w:noWrap/>
            <w:vAlign w:val="bottom"/>
          </w:tcPr>
          <w:p w14:paraId="29F2F30A" w14:textId="77777777" w:rsidR="00321BB7" w:rsidRPr="00321BB7" w:rsidRDefault="00321BB7" w:rsidP="00321BB7">
            <w:pPr>
              <w:jc w:val="right"/>
              <w:rPr>
                <w:sz w:val="18"/>
                <w:szCs w:val="18"/>
              </w:rPr>
            </w:pPr>
            <w:r w:rsidRPr="00321BB7">
              <w:rPr>
                <w:sz w:val="18"/>
                <w:szCs w:val="18"/>
              </w:rPr>
              <w:t>19,51</w:t>
            </w:r>
          </w:p>
        </w:tc>
        <w:tc>
          <w:tcPr>
            <w:tcW w:w="440" w:type="pct"/>
            <w:tcBorders>
              <w:top w:val="nil"/>
              <w:left w:val="nil"/>
              <w:bottom w:val="nil"/>
              <w:right w:val="nil"/>
            </w:tcBorders>
            <w:shd w:val="clear" w:color="auto" w:fill="C0C0C0"/>
            <w:noWrap/>
            <w:vAlign w:val="bottom"/>
          </w:tcPr>
          <w:p w14:paraId="68628D37" w14:textId="77777777" w:rsidR="00321BB7" w:rsidRPr="00321BB7" w:rsidRDefault="00321BB7" w:rsidP="00321BB7">
            <w:pPr>
              <w:jc w:val="right"/>
              <w:rPr>
                <w:sz w:val="18"/>
                <w:szCs w:val="18"/>
              </w:rPr>
            </w:pPr>
            <w:r w:rsidRPr="00321BB7">
              <w:rPr>
                <w:sz w:val="18"/>
                <w:szCs w:val="18"/>
              </w:rPr>
              <w:t>5,10</w:t>
            </w:r>
          </w:p>
        </w:tc>
        <w:tc>
          <w:tcPr>
            <w:tcW w:w="442" w:type="pct"/>
            <w:tcBorders>
              <w:top w:val="nil"/>
              <w:left w:val="nil"/>
              <w:bottom w:val="nil"/>
              <w:right w:val="nil"/>
            </w:tcBorders>
            <w:shd w:val="clear" w:color="auto" w:fill="C0C0C0"/>
            <w:noWrap/>
            <w:vAlign w:val="bottom"/>
          </w:tcPr>
          <w:p w14:paraId="27D054DE" w14:textId="77777777" w:rsidR="00321BB7" w:rsidRPr="00321BB7" w:rsidRDefault="00321BB7" w:rsidP="00321BB7">
            <w:pPr>
              <w:jc w:val="right"/>
              <w:rPr>
                <w:sz w:val="18"/>
                <w:szCs w:val="18"/>
              </w:rPr>
            </w:pPr>
            <w:r w:rsidRPr="00321BB7">
              <w:rPr>
                <w:sz w:val="18"/>
                <w:szCs w:val="18"/>
              </w:rPr>
              <w:t>5,65</w:t>
            </w:r>
          </w:p>
        </w:tc>
        <w:tc>
          <w:tcPr>
            <w:tcW w:w="393" w:type="pct"/>
            <w:tcBorders>
              <w:top w:val="nil"/>
              <w:left w:val="nil"/>
              <w:bottom w:val="nil"/>
              <w:right w:val="nil"/>
            </w:tcBorders>
            <w:shd w:val="clear" w:color="auto" w:fill="C0C0C0"/>
            <w:noWrap/>
            <w:vAlign w:val="bottom"/>
          </w:tcPr>
          <w:p w14:paraId="7E5492F9" w14:textId="77777777" w:rsidR="00321BB7" w:rsidRPr="00321BB7" w:rsidRDefault="00321BB7" w:rsidP="00321BB7">
            <w:pPr>
              <w:jc w:val="right"/>
              <w:rPr>
                <w:sz w:val="18"/>
                <w:szCs w:val="18"/>
              </w:rPr>
            </w:pPr>
            <w:r w:rsidRPr="00321BB7">
              <w:rPr>
                <w:sz w:val="18"/>
                <w:szCs w:val="18"/>
              </w:rPr>
              <w:t>0,58</w:t>
            </w:r>
          </w:p>
        </w:tc>
        <w:tc>
          <w:tcPr>
            <w:tcW w:w="394" w:type="pct"/>
            <w:tcBorders>
              <w:top w:val="nil"/>
              <w:left w:val="nil"/>
              <w:bottom w:val="nil"/>
              <w:right w:val="nil"/>
            </w:tcBorders>
            <w:shd w:val="clear" w:color="auto" w:fill="C0C0C0"/>
            <w:noWrap/>
            <w:vAlign w:val="bottom"/>
          </w:tcPr>
          <w:p w14:paraId="0D9761DB" w14:textId="77777777" w:rsidR="00321BB7" w:rsidRPr="00321BB7" w:rsidRDefault="00321BB7" w:rsidP="00321BB7">
            <w:pPr>
              <w:jc w:val="right"/>
              <w:rPr>
                <w:sz w:val="18"/>
                <w:szCs w:val="18"/>
              </w:rPr>
            </w:pPr>
            <w:r w:rsidRPr="00321BB7">
              <w:rPr>
                <w:sz w:val="18"/>
                <w:szCs w:val="18"/>
              </w:rPr>
              <w:t>0,59</w:t>
            </w:r>
          </w:p>
        </w:tc>
        <w:tc>
          <w:tcPr>
            <w:tcW w:w="393" w:type="pct"/>
            <w:tcBorders>
              <w:top w:val="nil"/>
              <w:left w:val="nil"/>
              <w:bottom w:val="nil"/>
              <w:right w:val="nil"/>
            </w:tcBorders>
            <w:shd w:val="clear" w:color="auto" w:fill="C0C0C0"/>
            <w:noWrap/>
            <w:vAlign w:val="bottom"/>
          </w:tcPr>
          <w:p w14:paraId="0391CABB" w14:textId="77777777" w:rsidR="00321BB7" w:rsidRPr="00321BB7" w:rsidRDefault="00321BB7" w:rsidP="00321BB7">
            <w:pPr>
              <w:jc w:val="right"/>
              <w:rPr>
                <w:sz w:val="18"/>
                <w:szCs w:val="18"/>
              </w:rPr>
            </w:pPr>
            <w:r w:rsidRPr="00321BB7">
              <w:rPr>
                <w:sz w:val="18"/>
                <w:szCs w:val="18"/>
              </w:rPr>
              <w:t>1,30</w:t>
            </w:r>
          </w:p>
        </w:tc>
        <w:tc>
          <w:tcPr>
            <w:tcW w:w="392" w:type="pct"/>
            <w:tcBorders>
              <w:top w:val="nil"/>
              <w:left w:val="nil"/>
              <w:bottom w:val="nil"/>
              <w:right w:val="nil"/>
            </w:tcBorders>
            <w:shd w:val="clear" w:color="auto" w:fill="C0C0C0"/>
            <w:noWrap/>
            <w:vAlign w:val="bottom"/>
          </w:tcPr>
          <w:p w14:paraId="0B1B15F1" w14:textId="77777777" w:rsidR="00321BB7" w:rsidRPr="00321BB7" w:rsidRDefault="00321BB7" w:rsidP="00321BB7">
            <w:pPr>
              <w:jc w:val="right"/>
              <w:rPr>
                <w:sz w:val="18"/>
                <w:szCs w:val="18"/>
              </w:rPr>
            </w:pPr>
            <w:r w:rsidRPr="00321BB7">
              <w:rPr>
                <w:sz w:val="18"/>
                <w:szCs w:val="18"/>
              </w:rPr>
              <w:t>1,26</w:t>
            </w:r>
          </w:p>
        </w:tc>
      </w:tr>
      <w:tr w:rsidR="00321BB7" w:rsidRPr="00293EA1" w14:paraId="558B945D" w14:textId="77777777" w:rsidTr="00321BB7">
        <w:trPr>
          <w:trHeight w:val="255"/>
          <w:jc w:val="center"/>
        </w:trPr>
        <w:tc>
          <w:tcPr>
            <w:tcW w:w="1721" w:type="pct"/>
            <w:tcBorders>
              <w:top w:val="nil"/>
              <w:left w:val="nil"/>
              <w:right w:val="nil"/>
            </w:tcBorders>
            <w:shd w:val="clear" w:color="auto" w:fill="auto"/>
            <w:noWrap/>
            <w:vAlign w:val="center"/>
          </w:tcPr>
          <w:p w14:paraId="1F9C654D" w14:textId="77777777" w:rsidR="00321BB7" w:rsidRPr="00293EA1" w:rsidRDefault="00321BB7" w:rsidP="00321BB7">
            <w:pPr>
              <w:jc w:val="left"/>
              <w:rPr>
                <w:rFonts w:cs="Arial"/>
                <w:sz w:val="18"/>
                <w:szCs w:val="18"/>
                <w:lang w:val="en-GB"/>
              </w:rPr>
            </w:pPr>
            <w:proofErr w:type="spellStart"/>
            <w:r w:rsidRPr="00293EA1">
              <w:rPr>
                <w:rFonts w:cs="Arial"/>
                <w:sz w:val="18"/>
                <w:szCs w:val="18"/>
                <w:lang w:val="en-GB"/>
              </w:rPr>
              <w:t>Ενέργει</w:t>
            </w:r>
            <w:proofErr w:type="spellEnd"/>
            <w:r w:rsidRPr="00293EA1">
              <w:rPr>
                <w:rFonts w:cs="Arial"/>
                <w:sz w:val="18"/>
                <w:szCs w:val="18"/>
                <w:lang w:val="en-GB"/>
              </w:rPr>
              <w:t>α-ύδρευση</w:t>
            </w:r>
          </w:p>
        </w:tc>
        <w:tc>
          <w:tcPr>
            <w:tcW w:w="413" w:type="pct"/>
            <w:tcBorders>
              <w:top w:val="nil"/>
              <w:left w:val="nil"/>
              <w:right w:val="nil"/>
            </w:tcBorders>
            <w:shd w:val="clear" w:color="auto" w:fill="auto"/>
            <w:noWrap/>
            <w:vAlign w:val="bottom"/>
          </w:tcPr>
          <w:p w14:paraId="4DE6EDD9" w14:textId="77777777" w:rsidR="00321BB7" w:rsidRPr="00321BB7" w:rsidRDefault="00321BB7" w:rsidP="00321BB7">
            <w:pPr>
              <w:jc w:val="right"/>
              <w:rPr>
                <w:sz w:val="18"/>
                <w:szCs w:val="18"/>
              </w:rPr>
            </w:pPr>
            <w:r w:rsidRPr="00321BB7">
              <w:rPr>
                <w:sz w:val="18"/>
                <w:szCs w:val="18"/>
              </w:rPr>
              <w:t>21,29</w:t>
            </w:r>
          </w:p>
        </w:tc>
        <w:tc>
          <w:tcPr>
            <w:tcW w:w="411" w:type="pct"/>
            <w:tcBorders>
              <w:top w:val="nil"/>
              <w:left w:val="nil"/>
              <w:right w:val="nil"/>
            </w:tcBorders>
            <w:shd w:val="clear" w:color="auto" w:fill="auto"/>
            <w:noWrap/>
            <w:vAlign w:val="bottom"/>
          </w:tcPr>
          <w:p w14:paraId="2F3F847C" w14:textId="77777777" w:rsidR="00321BB7" w:rsidRPr="00321BB7" w:rsidRDefault="00321BB7" w:rsidP="00321BB7">
            <w:pPr>
              <w:jc w:val="right"/>
              <w:rPr>
                <w:sz w:val="18"/>
                <w:szCs w:val="18"/>
              </w:rPr>
            </w:pPr>
            <w:r w:rsidRPr="00321BB7">
              <w:rPr>
                <w:sz w:val="18"/>
                <w:szCs w:val="18"/>
              </w:rPr>
              <w:t>22,60</w:t>
            </w:r>
          </w:p>
        </w:tc>
        <w:tc>
          <w:tcPr>
            <w:tcW w:w="440" w:type="pct"/>
            <w:tcBorders>
              <w:top w:val="nil"/>
              <w:left w:val="nil"/>
              <w:right w:val="nil"/>
            </w:tcBorders>
            <w:shd w:val="clear" w:color="auto" w:fill="auto"/>
            <w:noWrap/>
            <w:vAlign w:val="bottom"/>
          </w:tcPr>
          <w:p w14:paraId="32CA5D0B" w14:textId="77777777" w:rsidR="00321BB7" w:rsidRPr="00321BB7" w:rsidRDefault="00321BB7" w:rsidP="00321BB7">
            <w:pPr>
              <w:jc w:val="right"/>
              <w:rPr>
                <w:sz w:val="18"/>
                <w:szCs w:val="18"/>
              </w:rPr>
            </w:pPr>
            <w:r w:rsidRPr="00321BB7">
              <w:rPr>
                <w:sz w:val="18"/>
                <w:szCs w:val="18"/>
              </w:rPr>
              <w:t>1,39</w:t>
            </w:r>
          </w:p>
        </w:tc>
        <w:tc>
          <w:tcPr>
            <w:tcW w:w="442" w:type="pct"/>
            <w:tcBorders>
              <w:top w:val="nil"/>
              <w:left w:val="nil"/>
              <w:right w:val="nil"/>
            </w:tcBorders>
            <w:shd w:val="clear" w:color="auto" w:fill="auto"/>
            <w:noWrap/>
            <w:vAlign w:val="bottom"/>
          </w:tcPr>
          <w:p w14:paraId="18603A3A" w14:textId="77777777" w:rsidR="00321BB7" w:rsidRPr="00321BB7" w:rsidRDefault="00321BB7" w:rsidP="00321BB7">
            <w:pPr>
              <w:jc w:val="right"/>
              <w:rPr>
                <w:sz w:val="18"/>
                <w:szCs w:val="18"/>
              </w:rPr>
            </w:pPr>
            <w:r w:rsidRPr="00321BB7">
              <w:rPr>
                <w:sz w:val="18"/>
                <w:szCs w:val="18"/>
              </w:rPr>
              <w:t>9,23</w:t>
            </w:r>
          </w:p>
        </w:tc>
        <w:tc>
          <w:tcPr>
            <w:tcW w:w="393" w:type="pct"/>
            <w:tcBorders>
              <w:top w:val="nil"/>
              <w:left w:val="nil"/>
              <w:right w:val="nil"/>
            </w:tcBorders>
            <w:shd w:val="clear" w:color="auto" w:fill="auto"/>
            <w:noWrap/>
            <w:vAlign w:val="bottom"/>
          </w:tcPr>
          <w:p w14:paraId="3EA684A2" w14:textId="77777777" w:rsidR="00321BB7" w:rsidRPr="00321BB7" w:rsidRDefault="00321BB7" w:rsidP="00321BB7">
            <w:pPr>
              <w:jc w:val="right"/>
              <w:rPr>
                <w:sz w:val="18"/>
                <w:szCs w:val="18"/>
              </w:rPr>
            </w:pPr>
            <w:r w:rsidRPr="00321BB7">
              <w:rPr>
                <w:sz w:val="18"/>
                <w:szCs w:val="18"/>
              </w:rPr>
              <w:t>0,62</w:t>
            </w:r>
          </w:p>
        </w:tc>
        <w:tc>
          <w:tcPr>
            <w:tcW w:w="394" w:type="pct"/>
            <w:tcBorders>
              <w:top w:val="nil"/>
              <w:left w:val="nil"/>
              <w:right w:val="nil"/>
            </w:tcBorders>
            <w:shd w:val="clear" w:color="auto" w:fill="auto"/>
            <w:noWrap/>
            <w:vAlign w:val="bottom"/>
          </w:tcPr>
          <w:p w14:paraId="153B1239" w14:textId="77777777" w:rsidR="00321BB7" w:rsidRPr="00321BB7" w:rsidRDefault="00321BB7" w:rsidP="00321BB7">
            <w:pPr>
              <w:jc w:val="right"/>
              <w:rPr>
                <w:sz w:val="18"/>
                <w:szCs w:val="18"/>
              </w:rPr>
            </w:pPr>
            <w:r w:rsidRPr="00321BB7">
              <w:rPr>
                <w:sz w:val="18"/>
                <w:szCs w:val="18"/>
              </w:rPr>
              <w:t>0,59</w:t>
            </w:r>
          </w:p>
        </w:tc>
        <w:tc>
          <w:tcPr>
            <w:tcW w:w="393" w:type="pct"/>
            <w:tcBorders>
              <w:top w:val="nil"/>
              <w:left w:val="nil"/>
              <w:right w:val="nil"/>
            </w:tcBorders>
            <w:shd w:val="clear" w:color="auto" w:fill="auto"/>
            <w:noWrap/>
            <w:vAlign w:val="bottom"/>
          </w:tcPr>
          <w:p w14:paraId="1636C03E" w14:textId="77777777" w:rsidR="00321BB7" w:rsidRPr="00321BB7" w:rsidRDefault="00321BB7" w:rsidP="00321BB7">
            <w:pPr>
              <w:jc w:val="right"/>
              <w:rPr>
                <w:sz w:val="18"/>
                <w:szCs w:val="18"/>
              </w:rPr>
            </w:pPr>
            <w:r w:rsidRPr="00321BB7">
              <w:rPr>
                <w:sz w:val="18"/>
                <w:szCs w:val="18"/>
              </w:rPr>
              <w:t>1,17</w:t>
            </w:r>
          </w:p>
        </w:tc>
        <w:tc>
          <w:tcPr>
            <w:tcW w:w="392" w:type="pct"/>
            <w:tcBorders>
              <w:top w:val="nil"/>
              <w:left w:val="nil"/>
              <w:right w:val="nil"/>
            </w:tcBorders>
            <w:shd w:val="clear" w:color="auto" w:fill="auto"/>
            <w:noWrap/>
            <w:vAlign w:val="bottom"/>
          </w:tcPr>
          <w:p w14:paraId="4D79D274" w14:textId="77777777" w:rsidR="00321BB7" w:rsidRPr="00321BB7" w:rsidRDefault="00321BB7" w:rsidP="00321BB7">
            <w:pPr>
              <w:jc w:val="right"/>
              <w:rPr>
                <w:sz w:val="18"/>
                <w:szCs w:val="18"/>
              </w:rPr>
            </w:pPr>
            <w:r w:rsidRPr="00321BB7">
              <w:rPr>
                <w:sz w:val="18"/>
                <w:szCs w:val="18"/>
              </w:rPr>
              <w:t>1,19</w:t>
            </w:r>
          </w:p>
        </w:tc>
      </w:tr>
      <w:tr w:rsidR="00321BB7" w:rsidRPr="00293EA1" w14:paraId="439540F7" w14:textId="77777777" w:rsidTr="00321BB7">
        <w:trPr>
          <w:trHeight w:val="255"/>
          <w:jc w:val="center"/>
        </w:trPr>
        <w:tc>
          <w:tcPr>
            <w:tcW w:w="1721" w:type="pct"/>
            <w:tcBorders>
              <w:top w:val="nil"/>
              <w:left w:val="nil"/>
              <w:bottom w:val="nil"/>
              <w:right w:val="nil"/>
            </w:tcBorders>
            <w:shd w:val="clear" w:color="auto" w:fill="C0C0C0"/>
            <w:noWrap/>
            <w:vAlign w:val="center"/>
          </w:tcPr>
          <w:p w14:paraId="66C7A706" w14:textId="77777777" w:rsidR="00321BB7" w:rsidRPr="00293EA1" w:rsidRDefault="00321BB7" w:rsidP="00321BB7">
            <w:pPr>
              <w:jc w:val="left"/>
              <w:rPr>
                <w:rFonts w:cs="Arial"/>
                <w:sz w:val="18"/>
                <w:szCs w:val="18"/>
                <w:lang w:val="en-GB"/>
              </w:rPr>
            </w:pPr>
            <w:r w:rsidRPr="00293EA1">
              <w:rPr>
                <w:rFonts w:cs="Arial"/>
                <w:sz w:val="18"/>
                <w:szCs w:val="18"/>
                <w:lang w:val="en-GB"/>
              </w:rPr>
              <w:t>Κατα</w:t>
            </w:r>
            <w:proofErr w:type="spellStart"/>
            <w:r w:rsidRPr="00293EA1">
              <w:rPr>
                <w:rFonts w:cs="Arial"/>
                <w:sz w:val="18"/>
                <w:szCs w:val="18"/>
                <w:lang w:val="en-GB"/>
              </w:rPr>
              <w:t>σκευές</w:t>
            </w:r>
            <w:proofErr w:type="spellEnd"/>
          </w:p>
        </w:tc>
        <w:tc>
          <w:tcPr>
            <w:tcW w:w="413" w:type="pct"/>
            <w:tcBorders>
              <w:top w:val="nil"/>
              <w:left w:val="nil"/>
              <w:bottom w:val="nil"/>
              <w:right w:val="nil"/>
            </w:tcBorders>
            <w:shd w:val="clear" w:color="auto" w:fill="C0C0C0"/>
            <w:noWrap/>
            <w:vAlign w:val="bottom"/>
          </w:tcPr>
          <w:p w14:paraId="145F78F5" w14:textId="77777777" w:rsidR="00321BB7" w:rsidRPr="00321BB7" w:rsidRDefault="00321BB7" w:rsidP="00321BB7">
            <w:pPr>
              <w:jc w:val="right"/>
              <w:rPr>
                <w:sz w:val="18"/>
                <w:szCs w:val="18"/>
              </w:rPr>
            </w:pPr>
            <w:r w:rsidRPr="00321BB7">
              <w:rPr>
                <w:sz w:val="18"/>
                <w:szCs w:val="18"/>
              </w:rPr>
              <w:t>8,54</w:t>
            </w:r>
          </w:p>
        </w:tc>
        <w:tc>
          <w:tcPr>
            <w:tcW w:w="411" w:type="pct"/>
            <w:tcBorders>
              <w:top w:val="nil"/>
              <w:left w:val="nil"/>
              <w:bottom w:val="nil"/>
              <w:right w:val="nil"/>
            </w:tcBorders>
            <w:shd w:val="clear" w:color="auto" w:fill="C0C0C0"/>
            <w:noWrap/>
            <w:vAlign w:val="bottom"/>
          </w:tcPr>
          <w:p w14:paraId="2DB0186F" w14:textId="77777777" w:rsidR="00321BB7" w:rsidRPr="00321BB7" w:rsidRDefault="00321BB7" w:rsidP="00321BB7">
            <w:pPr>
              <w:jc w:val="right"/>
              <w:rPr>
                <w:sz w:val="18"/>
                <w:szCs w:val="18"/>
              </w:rPr>
            </w:pPr>
            <w:r w:rsidRPr="00321BB7">
              <w:rPr>
                <w:sz w:val="18"/>
                <w:szCs w:val="18"/>
              </w:rPr>
              <w:t>9,69</w:t>
            </w:r>
          </w:p>
        </w:tc>
        <w:tc>
          <w:tcPr>
            <w:tcW w:w="440" w:type="pct"/>
            <w:tcBorders>
              <w:top w:val="nil"/>
              <w:left w:val="nil"/>
              <w:bottom w:val="nil"/>
              <w:right w:val="nil"/>
            </w:tcBorders>
            <w:shd w:val="clear" w:color="auto" w:fill="C0C0C0"/>
            <w:noWrap/>
            <w:vAlign w:val="bottom"/>
          </w:tcPr>
          <w:p w14:paraId="57A63476" w14:textId="77777777" w:rsidR="00321BB7" w:rsidRPr="00321BB7" w:rsidRDefault="00321BB7" w:rsidP="00321BB7">
            <w:pPr>
              <w:jc w:val="right"/>
              <w:rPr>
                <w:sz w:val="18"/>
                <w:szCs w:val="18"/>
              </w:rPr>
            </w:pPr>
            <w:r w:rsidRPr="00321BB7">
              <w:rPr>
                <w:sz w:val="18"/>
                <w:szCs w:val="18"/>
              </w:rPr>
              <w:t>-4,46</w:t>
            </w:r>
          </w:p>
        </w:tc>
        <w:tc>
          <w:tcPr>
            <w:tcW w:w="442" w:type="pct"/>
            <w:tcBorders>
              <w:top w:val="nil"/>
              <w:left w:val="nil"/>
              <w:bottom w:val="nil"/>
              <w:right w:val="nil"/>
            </w:tcBorders>
            <w:shd w:val="clear" w:color="auto" w:fill="C0C0C0"/>
            <w:noWrap/>
            <w:vAlign w:val="bottom"/>
          </w:tcPr>
          <w:p w14:paraId="1E37806A" w14:textId="77777777" w:rsidR="00321BB7" w:rsidRPr="00321BB7" w:rsidRDefault="00321BB7" w:rsidP="00321BB7">
            <w:pPr>
              <w:jc w:val="right"/>
              <w:rPr>
                <w:sz w:val="18"/>
                <w:szCs w:val="18"/>
              </w:rPr>
            </w:pPr>
            <w:r w:rsidRPr="00321BB7">
              <w:rPr>
                <w:sz w:val="18"/>
                <w:szCs w:val="18"/>
              </w:rPr>
              <w:t>-3,07</w:t>
            </w:r>
          </w:p>
        </w:tc>
        <w:tc>
          <w:tcPr>
            <w:tcW w:w="393" w:type="pct"/>
            <w:tcBorders>
              <w:top w:val="nil"/>
              <w:left w:val="nil"/>
              <w:bottom w:val="nil"/>
              <w:right w:val="nil"/>
            </w:tcBorders>
            <w:shd w:val="clear" w:color="auto" w:fill="C0C0C0"/>
            <w:noWrap/>
            <w:vAlign w:val="bottom"/>
          </w:tcPr>
          <w:p w14:paraId="52462B6A" w14:textId="77777777" w:rsidR="00321BB7" w:rsidRPr="00321BB7" w:rsidRDefault="00321BB7" w:rsidP="00321BB7">
            <w:pPr>
              <w:jc w:val="right"/>
              <w:rPr>
                <w:sz w:val="18"/>
                <w:szCs w:val="18"/>
              </w:rPr>
            </w:pPr>
            <w:r w:rsidRPr="00321BB7">
              <w:rPr>
                <w:sz w:val="18"/>
                <w:szCs w:val="18"/>
              </w:rPr>
              <w:t>0,57</w:t>
            </w:r>
          </w:p>
        </w:tc>
        <w:tc>
          <w:tcPr>
            <w:tcW w:w="394" w:type="pct"/>
            <w:tcBorders>
              <w:top w:val="nil"/>
              <w:left w:val="nil"/>
              <w:bottom w:val="nil"/>
              <w:right w:val="nil"/>
            </w:tcBorders>
            <w:shd w:val="clear" w:color="auto" w:fill="C0C0C0"/>
            <w:noWrap/>
            <w:vAlign w:val="bottom"/>
          </w:tcPr>
          <w:p w14:paraId="68FC513B" w14:textId="77777777" w:rsidR="00321BB7" w:rsidRPr="00321BB7" w:rsidRDefault="00321BB7" w:rsidP="00321BB7">
            <w:pPr>
              <w:jc w:val="right"/>
              <w:rPr>
                <w:sz w:val="18"/>
                <w:szCs w:val="18"/>
              </w:rPr>
            </w:pPr>
            <w:r w:rsidRPr="00321BB7">
              <w:rPr>
                <w:sz w:val="18"/>
                <w:szCs w:val="18"/>
              </w:rPr>
              <w:t>0,59</w:t>
            </w:r>
          </w:p>
        </w:tc>
        <w:tc>
          <w:tcPr>
            <w:tcW w:w="393" w:type="pct"/>
            <w:tcBorders>
              <w:top w:val="nil"/>
              <w:left w:val="nil"/>
              <w:bottom w:val="nil"/>
              <w:right w:val="nil"/>
            </w:tcBorders>
            <w:shd w:val="clear" w:color="auto" w:fill="C0C0C0"/>
            <w:noWrap/>
            <w:vAlign w:val="bottom"/>
          </w:tcPr>
          <w:p w14:paraId="32C52877" w14:textId="77777777" w:rsidR="00321BB7" w:rsidRPr="00321BB7" w:rsidRDefault="00321BB7" w:rsidP="00321BB7">
            <w:pPr>
              <w:jc w:val="right"/>
              <w:rPr>
                <w:sz w:val="18"/>
                <w:szCs w:val="18"/>
              </w:rPr>
            </w:pPr>
            <w:r w:rsidRPr="00321BB7">
              <w:rPr>
                <w:sz w:val="18"/>
                <w:szCs w:val="18"/>
              </w:rPr>
              <w:t>1,55</w:t>
            </w:r>
          </w:p>
        </w:tc>
        <w:tc>
          <w:tcPr>
            <w:tcW w:w="392" w:type="pct"/>
            <w:tcBorders>
              <w:top w:val="nil"/>
              <w:left w:val="nil"/>
              <w:bottom w:val="nil"/>
              <w:right w:val="nil"/>
            </w:tcBorders>
            <w:shd w:val="clear" w:color="auto" w:fill="C0C0C0"/>
            <w:noWrap/>
            <w:vAlign w:val="bottom"/>
          </w:tcPr>
          <w:p w14:paraId="50AE2383" w14:textId="77777777" w:rsidR="00321BB7" w:rsidRPr="00321BB7" w:rsidRDefault="00321BB7" w:rsidP="00321BB7">
            <w:pPr>
              <w:jc w:val="right"/>
              <w:rPr>
                <w:sz w:val="18"/>
                <w:szCs w:val="18"/>
              </w:rPr>
            </w:pPr>
            <w:r w:rsidRPr="00321BB7">
              <w:rPr>
                <w:sz w:val="18"/>
                <w:szCs w:val="18"/>
              </w:rPr>
              <w:t>1,45</w:t>
            </w:r>
          </w:p>
        </w:tc>
      </w:tr>
      <w:tr w:rsidR="00321BB7" w:rsidRPr="00293EA1" w14:paraId="44531A0D" w14:textId="77777777" w:rsidTr="00321BB7">
        <w:trPr>
          <w:trHeight w:val="255"/>
          <w:jc w:val="center"/>
        </w:trPr>
        <w:tc>
          <w:tcPr>
            <w:tcW w:w="1721" w:type="pct"/>
            <w:tcBorders>
              <w:top w:val="nil"/>
              <w:left w:val="nil"/>
              <w:bottom w:val="nil"/>
              <w:right w:val="nil"/>
            </w:tcBorders>
            <w:shd w:val="clear" w:color="auto" w:fill="auto"/>
            <w:noWrap/>
            <w:vAlign w:val="center"/>
          </w:tcPr>
          <w:p w14:paraId="4FEA1E8B" w14:textId="77777777" w:rsidR="00321BB7" w:rsidRPr="00293EA1" w:rsidRDefault="00321BB7" w:rsidP="00321BB7">
            <w:pPr>
              <w:jc w:val="left"/>
              <w:rPr>
                <w:rFonts w:cs="Arial"/>
                <w:sz w:val="18"/>
                <w:szCs w:val="18"/>
                <w:lang w:val="en-GB"/>
              </w:rPr>
            </w:pPr>
            <w:proofErr w:type="spellStart"/>
            <w:r w:rsidRPr="00293EA1">
              <w:rPr>
                <w:rFonts w:cs="Arial"/>
                <w:sz w:val="18"/>
                <w:szCs w:val="18"/>
                <w:lang w:val="en-GB"/>
              </w:rPr>
              <w:t>Εμ</w:t>
            </w:r>
            <w:proofErr w:type="spellEnd"/>
            <w:r w:rsidRPr="00293EA1">
              <w:rPr>
                <w:rFonts w:cs="Arial"/>
                <w:sz w:val="18"/>
                <w:szCs w:val="18"/>
                <w:lang w:val="en-GB"/>
              </w:rPr>
              <w:t>πόριο</w:t>
            </w:r>
          </w:p>
        </w:tc>
        <w:tc>
          <w:tcPr>
            <w:tcW w:w="413" w:type="pct"/>
            <w:tcBorders>
              <w:top w:val="nil"/>
              <w:left w:val="nil"/>
              <w:bottom w:val="nil"/>
              <w:right w:val="nil"/>
            </w:tcBorders>
            <w:shd w:val="clear" w:color="auto" w:fill="auto"/>
            <w:noWrap/>
            <w:vAlign w:val="bottom"/>
          </w:tcPr>
          <w:p w14:paraId="63A29A07" w14:textId="77777777" w:rsidR="00321BB7" w:rsidRPr="00321BB7" w:rsidRDefault="00321BB7" w:rsidP="00321BB7">
            <w:pPr>
              <w:jc w:val="right"/>
              <w:rPr>
                <w:sz w:val="18"/>
                <w:szCs w:val="18"/>
              </w:rPr>
            </w:pPr>
            <w:r w:rsidRPr="00321BB7">
              <w:rPr>
                <w:sz w:val="18"/>
                <w:szCs w:val="18"/>
              </w:rPr>
              <w:t>18,90</w:t>
            </w:r>
          </w:p>
        </w:tc>
        <w:tc>
          <w:tcPr>
            <w:tcW w:w="411" w:type="pct"/>
            <w:tcBorders>
              <w:top w:val="nil"/>
              <w:left w:val="nil"/>
              <w:bottom w:val="nil"/>
              <w:right w:val="nil"/>
            </w:tcBorders>
            <w:shd w:val="clear" w:color="auto" w:fill="auto"/>
            <w:noWrap/>
            <w:vAlign w:val="bottom"/>
          </w:tcPr>
          <w:p w14:paraId="6FFBEF15" w14:textId="77777777" w:rsidR="00321BB7" w:rsidRPr="00321BB7" w:rsidRDefault="00321BB7" w:rsidP="00321BB7">
            <w:pPr>
              <w:jc w:val="right"/>
              <w:rPr>
                <w:sz w:val="18"/>
                <w:szCs w:val="18"/>
              </w:rPr>
            </w:pPr>
            <w:r w:rsidRPr="00321BB7">
              <w:rPr>
                <w:sz w:val="18"/>
                <w:szCs w:val="18"/>
              </w:rPr>
              <w:t>19,24</w:t>
            </w:r>
          </w:p>
        </w:tc>
        <w:tc>
          <w:tcPr>
            <w:tcW w:w="440" w:type="pct"/>
            <w:tcBorders>
              <w:top w:val="nil"/>
              <w:left w:val="nil"/>
              <w:bottom w:val="nil"/>
              <w:right w:val="nil"/>
            </w:tcBorders>
            <w:shd w:val="clear" w:color="auto" w:fill="auto"/>
            <w:noWrap/>
            <w:vAlign w:val="bottom"/>
          </w:tcPr>
          <w:p w14:paraId="2F0FF217" w14:textId="77777777" w:rsidR="00321BB7" w:rsidRPr="00321BB7" w:rsidRDefault="00321BB7" w:rsidP="00321BB7">
            <w:pPr>
              <w:jc w:val="right"/>
              <w:rPr>
                <w:sz w:val="18"/>
                <w:szCs w:val="18"/>
              </w:rPr>
            </w:pPr>
            <w:r w:rsidRPr="00321BB7">
              <w:rPr>
                <w:sz w:val="18"/>
                <w:szCs w:val="18"/>
              </w:rPr>
              <w:t>2,47</w:t>
            </w:r>
          </w:p>
        </w:tc>
        <w:tc>
          <w:tcPr>
            <w:tcW w:w="442" w:type="pct"/>
            <w:tcBorders>
              <w:top w:val="nil"/>
              <w:left w:val="nil"/>
              <w:bottom w:val="nil"/>
              <w:right w:val="nil"/>
            </w:tcBorders>
            <w:shd w:val="clear" w:color="auto" w:fill="auto"/>
            <w:noWrap/>
            <w:vAlign w:val="bottom"/>
          </w:tcPr>
          <w:p w14:paraId="11C720C5" w14:textId="77777777" w:rsidR="00321BB7" w:rsidRPr="00321BB7" w:rsidRDefault="00321BB7" w:rsidP="00321BB7">
            <w:pPr>
              <w:jc w:val="right"/>
              <w:rPr>
                <w:sz w:val="18"/>
                <w:szCs w:val="18"/>
              </w:rPr>
            </w:pPr>
            <w:r w:rsidRPr="00321BB7">
              <w:rPr>
                <w:sz w:val="18"/>
                <w:szCs w:val="18"/>
              </w:rPr>
              <w:t>2,48</w:t>
            </w:r>
          </w:p>
        </w:tc>
        <w:tc>
          <w:tcPr>
            <w:tcW w:w="393" w:type="pct"/>
            <w:tcBorders>
              <w:top w:val="nil"/>
              <w:left w:val="nil"/>
              <w:bottom w:val="nil"/>
              <w:right w:val="nil"/>
            </w:tcBorders>
            <w:shd w:val="clear" w:color="auto" w:fill="auto"/>
            <w:noWrap/>
            <w:vAlign w:val="bottom"/>
          </w:tcPr>
          <w:p w14:paraId="1F40D2D3" w14:textId="77777777" w:rsidR="00321BB7" w:rsidRPr="00321BB7" w:rsidRDefault="00321BB7" w:rsidP="00321BB7">
            <w:pPr>
              <w:jc w:val="right"/>
              <w:rPr>
                <w:sz w:val="18"/>
                <w:szCs w:val="18"/>
              </w:rPr>
            </w:pPr>
            <w:r w:rsidRPr="00321BB7">
              <w:rPr>
                <w:sz w:val="18"/>
                <w:szCs w:val="18"/>
              </w:rPr>
              <w:t>0,65</w:t>
            </w:r>
          </w:p>
        </w:tc>
        <w:tc>
          <w:tcPr>
            <w:tcW w:w="394" w:type="pct"/>
            <w:tcBorders>
              <w:top w:val="nil"/>
              <w:left w:val="nil"/>
              <w:bottom w:val="nil"/>
              <w:right w:val="nil"/>
            </w:tcBorders>
            <w:shd w:val="clear" w:color="auto" w:fill="auto"/>
            <w:noWrap/>
            <w:vAlign w:val="bottom"/>
          </w:tcPr>
          <w:p w14:paraId="14E4B768" w14:textId="77777777" w:rsidR="00321BB7" w:rsidRPr="00321BB7" w:rsidRDefault="00321BB7" w:rsidP="00321BB7">
            <w:pPr>
              <w:jc w:val="right"/>
              <w:rPr>
                <w:sz w:val="18"/>
                <w:szCs w:val="18"/>
              </w:rPr>
            </w:pPr>
            <w:r w:rsidRPr="00321BB7">
              <w:rPr>
                <w:sz w:val="18"/>
                <w:szCs w:val="18"/>
              </w:rPr>
              <w:t>0,64</w:t>
            </w:r>
          </w:p>
        </w:tc>
        <w:tc>
          <w:tcPr>
            <w:tcW w:w="393" w:type="pct"/>
            <w:tcBorders>
              <w:top w:val="nil"/>
              <w:left w:val="nil"/>
              <w:bottom w:val="nil"/>
              <w:right w:val="nil"/>
            </w:tcBorders>
            <w:shd w:val="clear" w:color="auto" w:fill="auto"/>
            <w:noWrap/>
            <w:vAlign w:val="bottom"/>
          </w:tcPr>
          <w:p w14:paraId="255CC096" w14:textId="77777777" w:rsidR="00321BB7" w:rsidRPr="00321BB7" w:rsidRDefault="00321BB7" w:rsidP="00321BB7">
            <w:pPr>
              <w:jc w:val="right"/>
              <w:rPr>
                <w:sz w:val="18"/>
                <w:szCs w:val="18"/>
              </w:rPr>
            </w:pPr>
            <w:r w:rsidRPr="00321BB7">
              <w:rPr>
                <w:sz w:val="18"/>
                <w:szCs w:val="18"/>
              </w:rPr>
              <w:t>1,29</w:t>
            </w:r>
          </w:p>
        </w:tc>
        <w:tc>
          <w:tcPr>
            <w:tcW w:w="392" w:type="pct"/>
            <w:tcBorders>
              <w:top w:val="nil"/>
              <w:left w:val="nil"/>
              <w:bottom w:val="nil"/>
              <w:right w:val="nil"/>
            </w:tcBorders>
            <w:shd w:val="clear" w:color="auto" w:fill="auto"/>
            <w:noWrap/>
            <w:vAlign w:val="bottom"/>
          </w:tcPr>
          <w:p w14:paraId="72550FFC" w14:textId="77777777" w:rsidR="00321BB7" w:rsidRPr="00321BB7" w:rsidRDefault="00321BB7" w:rsidP="00321BB7">
            <w:pPr>
              <w:jc w:val="right"/>
              <w:rPr>
                <w:sz w:val="18"/>
                <w:szCs w:val="18"/>
              </w:rPr>
            </w:pPr>
            <w:r w:rsidRPr="00321BB7">
              <w:rPr>
                <w:sz w:val="18"/>
                <w:szCs w:val="18"/>
              </w:rPr>
              <w:t>1,30</w:t>
            </w:r>
          </w:p>
        </w:tc>
      </w:tr>
      <w:tr w:rsidR="00321BB7" w:rsidRPr="00293EA1" w14:paraId="7BEAD64E" w14:textId="77777777" w:rsidTr="00321BB7">
        <w:trPr>
          <w:trHeight w:val="255"/>
          <w:jc w:val="center"/>
        </w:trPr>
        <w:tc>
          <w:tcPr>
            <w:tcW w:w="1721" w:type="pct"/>
            <w:tcBorders>
              <w:top w:val="nil"/>
              <w:left w:val="nil"/>
              <w:bottom w:val="nil"/>
              <w:right w:val="nil"/>
            </w:tcBorders>
            <w:shd w:val="clear" w:color="auto" w:fill="C0C0C0"/>
            <w:noWrap/>
            <w:vAlign w:val="center"/>
          </w:tcPr>
          <w:p w14:paraId="431B46F4" w14:textId="77777777" w:rsidR="00321BB7" w:rsidRPr="00293EA1" w:rsidRDefault="00321BB7" w:rsidP="00321BB7">
            <w:pPr>
              <w:jc w:val="left"/>
              <w:rPr>
                <w:rFonts w:cs="Arial"/>
                <w:sz w:val="18"/>
                <w:szCs w:val="18"/>
                <w:lang w:val="en-GB"/>
              </w:rPr>
            </w:pPr>
            <w:proofErr w:type="spellStart"/>
            <w:r w:rsidRPr="00293EA1">
              <w:rPr>
                <w:rFonts w:cs="Arial"/>
                <w:sz w:val="18"/>
                <w:szCs w:val="18"/>
                <w:lang w:val="en-GB"/>
              </w:rPr>
              <w:t>Ξεν</w:t>
            </w:r>
            <w:proofErr w:type="spellEnd"/>
            <w:r w:rsidRPr="00293EA1">
              <w:rPr>
                <w:rFonts w:cs="Arial"/>
                <w:sz w:val="18"/>
                <w:szCs w:val="18"/>
                <w:lang w:val="en-GB"/>
              </w:rPr>
              <w:t>/</w:t>
            </w:r>
            <w:proofErr w:type="spellStart"/>
            <w:r w:rsidRPr="00293EA1">
              <w:rPr>
                <w:rFonts w:cs="Arial"/>
                <w:sz w:val="18"/>
                <w:szCs w:val="18"/>
                <w:lang w:val="en-GB"/>
              </w:rPr>
              <w:t>χεί</w:t>
            </w:r>
            <w:proofErr w:type="spellEnd"/>
            <w:r w:rsidRPr="00293EA1">
              <w:rPr>
                <w:rFonts w:cs="Arial"/>
                <w:sz w:val="18"/>
                <w:szCs w:val="18"/>
                <w:lang w:val="en-GB"/>
              </w:rPr>
              <w:t>α-εστ/ρια</w:t>
            </w:r>
          </w:p>
        </w:tc>
        <w:tc>
          <w:tcPr>
            <w:tcW w:w="413" w:type="pct"/>
            <w:tcBorders>
              <w:top w:val="nil"/>
              <w:left w:val="nil"/>
              <w:bottom w:val="nil"/>
              <w:right w:val="nil"/>
            </w:tcBorders>
            <w:shd w:val="clear" w:color="auto" w:fill="C0C0C0"/>
            <w:noWrap/>
            <w:vAlign w:val="bottom"/>
          </w:tcPr>
          <w:p w14:paraId="087DDD81" w14:textId="77777777" w:rsidR="00321BB7" w:rsidRPr="00321BB7" w:rsidRDefault="00321BB7" w:rsidP="00321BB7">
            <w:pPr>
              <w:jc w:val="right"/>
              <w:rPr>
                <w:sz w:val="18"/>
                <w:szCs w:val="18"/>
              </w:rPr>
            </w:pPr>
            <w:r w:rsidRPr="00321BB7">
              <w:rPr>
                <w:sz w:val="18"/>
                <w:szCs w:val="18"/>
              </w:rPr>
              <w:t>41,41</w:t>
            </w:r>
          </w:p>
        </w:tc>
        <w:tc>
          <w:tcPr>
            <w:tcW w:w="411" w:type="pct"/>
            <w:tcBorders>
              <w:top w:val="nil"/>
              <w:left w:val="nil"/>
              <w:bottom w:val="nil"/>
              <w:right w:val="nil"/>
            </w:tcBorders>
            <w:shd w:val="clear" w:color="auto" w:fill="C0C0C0"/>
            <w:noWrap/>
            <w:vAlign w:val="bottom"/>
          </w:tcPr>
          <w:p w14:paraId="5FA74FB0" w14:textId="77777777" w:rsidR="00321BB7" w:rsidRPr="00321BB7" w:rsidRDefault="00321BB7" w:rsidP="00321BB7">
            <w:pPr>
              <w:jc w:val="right"/>
              <w:rPr>
                <w:sz w:val="18"/>
                <w:szCs w:val="18"/>
              </w:rPr>
            </w:pPr>
            <w:r w:rsidRPr="00321BB7">
              <w:rPr>
                <w:sz w:val="18"/>
                <w:szCs w:val="18"/>
              </w:rPr>
              <w:t>40,72</w:t>
            </w:r>
          </w:p>
        </w:tc>
        <w:tc>
          <w:tcPr>
            <w:tcW w:w="440" w:type="pct"/>
            <w:tcBorders>
              <w:top w:val="nil"/>
              <w:left w:val="nil"/>
              <w:bottom w:val="nil"/>
              <w:right w:val="nil"/>
            </w:tcBorders>
            <w:shd w:val="clear" w:color="auto" w:fill="C0C0C0"/>
            <w:noWrap/>
            <w:vAlign w:val="bottom"/>
          </w:tcPr>
          <w:p w14:paraId="30A90B20" w14:textId="77777777" w:rsidR="00321BB7" w:rsidRPr="00321BB7" w:rsidRDefault="00321BB7" w:rsidP="00321BB7">
            <w:pPr>
              <w:jc w:val="right"/>
              <w:rPr>
                <w:sz w:val="18"/>
                <w:szCs w:val="18"/>
              </w:rPr>
            </w:pPr>
            <w:r w:rsidRPr="00321BB7">
              <w:rPr>
                <w:sz w:val="18"/>
                <w:szCs w:val="18"/>
              </w:rPr>
              <w:t>7,37</w:t>
            </w:r>
          </w:p>
        </w:tc>
        <w:tc>
          <w:tcPr>
            <w:tcW w:w="442" w:type="pct"/>
            <w:tcBorders>
              <w:top w:val="nil"/>
              <w:left w:val="nil"/>
              <w:bottom w:val="nil"/>
              <w:right w:val="nil"/>
            </w:tcBorders>
            <w:shd w:val="clear" w:color="auto" w:fill="C0C0C0"/>
            <w:noWrap/>
            <w:vAlign w:val="bottom"/>
          </w:tcPr>
          <w:p w14:paraId="601C8B96" w14:textId="77777777" w:rsidR="00321BB7" w:rsidRPr="00321BB7" w:rsidRDefault="00321BB7" w:rsidP="00321BB7">
            <w:pPr>
              <w:jc w:val="right"/>
              <w:rPr>
                <w:sz w:val="18"/>
                <w:szCs w:val="18"/>
              </w:rPr>
            </w:pPr>
            <w:r w:rsidRPr="00321BB7">
              <w:rPr>
                <w:sz w:val="18"/>
                <w:szCs w:val="18"/>
              </w:rPr>
              <w:t>8,76</w:t>
            </w:r>
          </w:p>
        </w:tc>
        <w:tc>
          <w:tcPr>
            <w:tcW w:w="393" w:type="pct"/>
            <w:tcBorders>
              <w:top w:val="nil"/>
              <w:left w:val="nil"/>
              <w:bottom w:val="nil"/>
              <w:right w:val="nil"/>
            </w:tcBorders>
            <w:shd w:val="clear" w:color="auto" w:fill="C0C0C0"/>
            <w:noWrap/>
            <w:vAlign w:val="bottom"/>
          </w:tcPr>
          <w:p w14:paraId="4223E5D7" w14:textId="77777777" w:rsidR="00321BB7" w:rsidRPr="00321BB7" w:rsidRDefault="00321BB7" w:rsidP="00321BB7">
            <w:pPr>
              <w:jc w:val="right"/>
              <w:rPr>
                <w:sz w:val="18"/>
                <w:szCs w:val="18"/>
              </w:rPr>
            </w:pPr>
            <w:r w:rsidRPr="00321BB7">
              <w:rPr>
                <w:sz w:val="18"/>
                <w:szCs w:val="18"/>
              </w:rPr>
              <w:t>0,51</w:t>
            </w:r>
          </w:p>
        </w:tc>
        <w:tc>
          <w:tcPr>
            <w:tcW w:w="394" w:type="pct"/>
            <w:tcBorders>
              <w:top w:val="nil"/>
              <w:left w:val="nil"/>
              <w:bottom w:val="nil"/>
              <w:right w:val="nil"/>
            </w:tcBorders>
            <w:shd w:val="clear" w:color="auto" w:fill="C0C0C0"/>
            <w:noWrap/>
            <w:vAlign w:val="bottom"/>
          </w:tcPr>
          <w:p w14:paraId="7635359B" w14:textId="77777777" w:rsidR="00321BB7" w:rsidRPr="00321BB7" w:rsidRDefault="00321BB7" w:rsidP="00321BB7">
            <w:pPr>
              <w:jc w:val="right"/>
              <w:rPr>
                <w:sz w:val="18"/>
                <w:szCs w:val="18"/>
              </w:rPr>
            </w:pPr>
            <w:r w:rsidRPr="00321BB7">
              <w:rPr>
                <w:sz w:val="18"/>
                <w:szCs w:val="18"/>
              </w:rPr>
              <w:t>0,49</w:t>
            </w:r>
          </w:p>
        </w:tc>
        <w:tc>
          <w:tcPr>
            <w:tcW w:w="393" w:type="pct"/>
            <w:tcBorders>
              <w:top w:val="nil"/>
              <w:left w:val="nil"/>
              <w:bottom w:val="nil"/>
              <w:right w:val="nil"/>
            </w:tcBorders>
            <w:shd w:val="clear" w:color="auto" w:fill="C0C0C0"/>
            <w:noWrap/>
            <w:vAlign w:val="bottom"/>
          </w:tcPr>
          <w:p w14:paraId="7256669A" w14:textId="77777777" w:rsidR="00321BB7" w:rsidRPr="00321BB7" w:rsidRDefault="00321BB7" w:rsidP="00321BB7">
            <w:pPr>
              <w:jc w:val="right"/>
              <w:rPr>
                <w:sz w:val="18"/>
                <w:szCs w:val="18"/>
              </w:rPr>
            </w:pPr>
            <w:r w:rsidRPr="00321BB7">
              <w:rPr>
                <w:sz w:val="18"/>
                <w:szCs w:val="18"/>
              </w:rPr>
              <w:t>0,85</w:t>
            </w:r>
          </w:p>
        </w:tc>
        <w:tc>
          <w:tcPr>
            <w:tcW w:w="392" w:type="pct"/>
            <w:tcBorders>
              <w:top w:val="nil"/>
              <w:left w:val="nil"/>
              <w:bottom w:val="nil"/>
              <w:right w:val="nil"/>
            </w:tcBorders>
            <w:shd w:val="clear" w:color="auto" w:fill="C0C0C0"/>
            <w:noWrap/>
            <w:vAlign w:val="bottom"/>
          </w:tcPr>
          <w:p w14:paraId="77AB2657" w14:textId="77777777" w:rsidR="00321BB7" w:rsidRPr="00321BB7" w:rsidRDefault="00321BB7" w:rsidP="00321BB7">
            <w:pPr>
              <w:jc w:val="right"/>
              <w:rPr>
                <w:sz w:val="18"/>
                <w:szCs w:val="18"/>
              </w:rPr>
            </w:pPr>
            <w:r w:rsidRPr="00321BB7">
              <w:rPr>
                <w:sz w:val="18"/>
                <w:szCs w:val="18"/>
              </w:rPr>
              <w:t>0,88</w:t>
            </w:r>
          </w:p>
        </w:tc>
      </w:tr>
      <w:tr w:rsidR="00321BB7" w:rsidRPr="00293EA1" w14:paraId="7818913D" w14:textId="77777777" w:rsidTr="00321BB7">
        <w:trPr>
          <w:trHeight w:val="255"/>
          <w:jc w:val="center"/>
        </w:trPr>
        <w:tc>
          <w:tcPr>
            <w:tcW w:w="1721" w:type="pct"/>
            <w:tcBorders>
              <w:top w:val="nil"/>
              <w:left w:val="nil"/>
              <w:bottom w:val="nil"/>
              <w:right w:val="nil"/>
            </w:tcBorders>
            <w:shd w:val="clear" w:color="auto" w:fill="auto"/>
            <w:noWrap/>
            <w:vAlign w:val="center"/>
          </w:tcPr>
          <w:p w14:paraId="7B2C7487" w14:textId="77777777" w:rsidR="00321BB7" w:rsidRPr="00293EA1" w:rsidRDefault="00321BB7" w:rsidP="00321BB7">
            <w:pPr>
              <w:jc w:val="left"/>
              <w:rPr>
                <w:rFonts w:cs="Arial"/>
                <w:sz w:val="18"/>
                <w:szCs w:val="18"/>
                <w:lang w:val="en-GB"/>
              </w:rPr>
            </w:pPr>
            <w:proofErr w:type="spellStart"/>
            <w:r w:rsidRPr="00293EA1">
              <w:rPr>
                <w:rFonts w:cs="Arial"/>
                <w:sz w:val="18"/>
                <w:szCs w:val="18"/>
                <w:lang w:val="en-GB"/>
              </w:rPr>
              <w:t>Μετ</w:t>
            </w:r>
            <w:proofErr w:type="spellEnd"/>
            <w:r w:rsidRPr="00293EA1">
              <w:rPr>
                <w:rFonts w:cs="Arial"/>
                <w:sz w:val="18"/>
                <w:szCs w:val="18"/>
                <w:lang w:val="en-GB"/>
              </w:rPr>
              <w:t>/</w:t>
            </w:r>
            <w:proofErr w:type="spellStart"/>
            <w:r w:rsidRPr="00293EA1">
              <w:rPr>
                <w:rFonts w:cs="Arial"/>
                <w:sz w:val="18"/>
                <w:szCs w:val="18"/>
                <w:lang w:val="en-GB"/>
              </w:rPr>
              <w:t>ρές</w:t>
            </w:r>
            <w:proofErr w:type="spellEnd"/>
            <w:r w:rsidRPr="00293EA1">
              <w:rPr>
                <w:rFonts w:cs="Arial"/>
                <w:sz w:val="18"/>
                <w:szCs w:val="18"/>
                <w:lang w:val="en-GB"/>
              </w:rPr>
              <w:t>-επ</w:t>
            </w:r>
            <w:proofErr w:type="spellStart"/>
            <w:r w:rsidRPr="00293EA1">
              <w:rPr>
                <w:rFonts w:cs="Arial"/>
                <w:sz w:val="18"/>
                <w:szCs w:val="18"/>
                <w:lang w:val="en-GB"/>
              </w:rPr>
              <w:t>ικ</w:t>
            </w:r>
            <w:proofErr w:type="spellEnd"/>
            <w:r w:rsidRPr="00293EA1">
              <w:rPr>
                <w:rFonts w:cs="Arial"/>
                <w:sz w:val="18"/>
                <w:szCs w:val="18"/>
                <w:lang w:val="en-GB"/>
              </w:rPr>
              <w:t>/</w:t>
            </w:r>
            <w:proofErr w:type="spellStart"/>
            <w:r w:rsidRPr="00293EA1">
              <w:rPr>
                <w:rFonts w:cs="Arial"/>
                <w:sz w:val="18"/>
                <w:szCs w:val="18"/>
                <w:lang w:val="en-GB"/>
              </w:rPr>
              <w:t>νίες</w:t>
            </w:r>
            <w:proofErr w:type="spellEnd"/>
          </w:p>
        </w:tc>
        <w:tc>
          <w:tcPr>
            <w:tcW w:w="413" w:type="pct"/>
            <w:tcBorders>
              <w:top w:val="nil"/>
              <w:left w:val="nil"/>
              <w:bottom w:val="nil"/>
              <w:right w:val="nil"/>
            </w:tcBorders>
            <w:shd w:val="clear" w:color="auto" w:fill="auto"/>
            <w:noWrap/>
            <w:vAlign w:val="bottom"/>
          </w:tcPr>
          <w:p w14:paraId="737F6B88" w14:textId="77777777" w:rsidR="00321BB7" w:rsidRPr="00321BB7" w:rsidRDefault="00321BB7" w:rsidP="00321BB7">
            <w:pPr>
              <w:jc w:val="right"/>
              <w:rPr>
                <w:sz w:val="18"/>
                <w:szCs w:val="18"/>
              </w:rPr>
            </w:pPr>
            <w:r w:rsidRPr="00321BB7">
              <w:rPr>
                <w:sz w:val="18"/>
                <w:szCs w:val="18"/>
              </w:rPr>
              <w:t>43,40</w:t>
            </w:r>
          </w:p>
        </w:tc>
        <w:tc>
          <w:tcPr>
            <w:tcW w:w="411" w:type="pct"/>
            <w:tcBorders>
              <w:top w:val="nil"/>
              <w:left w:val="nil"/>
              <w:bottom w:val="nil"/>
              <w:right w:val="nil"/>
            </w:tcBorders>
            <w:shd w:val="clear" w:color="auto" w:fill="auto"/>
            <w:noWrap/>
            <w:vAlign w:val="bottom"/>
          </w:tcPr>
          <w:p w14:paraId="7A4D306C" w14:textId="77777777" w:rsidR="00321BB7" w:rsidRPr="00321BB7" w:rsidRDefault="00321BB7" w:rsidP="00321BB7">
            <w:pPr>
              <w:jc w:val="right"/>
              <w:rPr>
                <w:sz w:val="18"/>
                <w:szCs w:val="18"/>
              </w:rPr>
            </w:pPr>
            <w:r w:rsidRPr="00321BB7">
              <w:rPr>
                <w:sz w:val="18"/>
                <w:szCs w:val="18"/>
              </w:rPr>
              <w:t>44,03</w:t>
            </w:r>
          </w:p>
        </w:tc>
        <w:tc>
          <w:tcPr>
            <w:tcW w:w="440" w:type="pct"/>
            <w:tcBorders>
              <w:top w:val="nil"/>
              <w:left w:val="nil"/>
              <w:bottom w:val="nil"/>
              <w:right w:val="nil"/>
            </w:tcBorders>
            <w:shd w:val="clear" w:color="auto" w:fill="auto"/>
            <w:noWrap/>
            <w:vAlign w:val="bottom"/>
          </w:tcPr>
          <w:p w14:paraId="7E478E59" w14:textId="77777777" w:rsidR="00321BB7" w:rsidRPr="00321BB7" w:rsidRDefault="00321BB7" w:rsidP="00321BB7">
            <w:pPr>
              <w:jc w:val="right"/>
              <w:rPr>
                <w:sz w:val="18"/>
                <w:szCs w:val="18"/>
              </w:rPr>
            </w:pPr>
            <w:r w:rsidRPr="00321BB7">
              <w:rPr>
                <w:sz w:val="18"/>
                <w:szCs w:val="18"/>
              </w:rPr>
              <w:t>10,72</w:t>
            </w:r>
          </w:p>
        </w:tc>
        <w:tc>
          <w:tcPr>
            <w:tcW w:w="442" w:type="pct"/>
            <w:tcBorders>
              <w:top w:val="nil"/>
              <w:left w:val="nil"/>
              <w:bottom w:val="nil"/>
              <w:right w:val="nil"/>
            </w:tcBorders>
            <w:shd w:val="clear" w:color="auto" w:fill="auto"/>
            <w:noWrap/>
            <w:vAlign w:val="bottom"/>
          </w:tcPr>
          <w:p w14:paraId="1A2CFAEC" w14:textId="77777777" w:rsidR="00321BB7" w:rsidRPr="00321BB7" w:rsidRDefault="00321BB7" w:rsidP="00321BB7">
            <w:pPr>
              <w:jc w:val="right"/>
              <w:rPr>
                <w:sz w:val="18"/>
                <w:szCs w:val="18"/>
              </w:rPr>
            </w:pPr>
            <w:r w:rsidRPr="00321BB7">
              <w:rPr>
                <w:sz w:val="18"/>
                <w:szCs w:val="18"/>
              </w:rPr>
              <w:t>-3,19</w:t>
            </w:r>
          </w:p>
        </w:tc>
        <w:tc>
          <w:tcPr>
            <w:tcW w:w="393" w:type="pct"/>
            <w:tcBorders>
              <w:top w:val="nil"/>
              <w:left w:val="nil"/>
              <w:bottom w:val="nil"/>
              <w:right w:val="nil"/>
            </w:tcBorders>
            <w:shd w:val="clear" w:color="auto" w:fill="auto"/>
            <w:noWrap/>
            <w:vAlign w:val="bottom"/>
          </w:tcPr>
          <w:p w14:paraId="4AA2FCAF" w14:textId="77777777" w:rsidR="00321BB7" w:rsidRPr="00321BB7" w:rsidRDefault="00321BB7" w:rsidP="00321BB7">
            <w:pPr>
              <w:jc w:val="right"/>
              <w:rPr>
                <w:sz w:val="18"/>
                <w:szCs w:val="18"/>
              </w:rPr>
            </w:pPr>
            <w:r w:rsidRPr="00321BB7">
              <w:rPr>
                <w:sz w:val="18"/>
                <w:szCs w:val="18"/>
              </w:rPr>
              <w:t>0,66</w:t>
            </w:r>
          </w:p>
        </w:tc>
        <w:tc>
          <w:tcPr>
            <w:tcW w:w="394" w:type="pct"/>
            <w:tcBorders>
              <w:top w:val="nil"/>
              <w:left w:val="nil"/>
              <w:bottom w:val="nil"/>
              <w:right w:val="nil"/>
            </w:tcBorders>
            <w:shd w:val="clear" w:color="auto" w:fill="auto"/>
            <w:noWrap/>
            <w:vAlign w:val="bottom"/>
          </w:tcPr>
          <w:p w14:paraId="69C4B451" w14:textId="77777777" w:rsidR="00321BB7" w:rsidRPr="00321BB7" w:rsidRDefault="00321BB7" w:rsidP="00321BB7">
            <w:pPr>
              <w:jc w:val="right"/>
              <w:rPr>
                <w:sz w:val="18"/>
                <w:szCs w:val="18"/>
              </w:rPr>
            </w:pPr>
            <w:r w:rsidRPr="00321BB7">
              <w:rPr>
                <w:sz w:val="18"/>
                <w:szCs w:val="18"/>
              </w:rPr>
              <w:t>0,67</w:t>
            </w:r>
          </w:p>
        </w:tc>
        <w:tc>
          <w:tcPr>
            <w:tcW w:w="393" w:type="pct"/>
            <w:tcBorders>
              <w:top w:val="nil"/>
              <w:left w:val="nil"/>
              <w:bottom w:val="nil"/>
              <w:right w:val="nil"/>
            </w:tcBorders>
            <w:shd w:val="clear" w:color="auto" w:fill="auto"/>
            <w:noWrap/>
            <w:vAlign w:val="bottom"/>
          </w:tcPr>
          <w:p w14:paraId="3A467319" w14:textId="77777777" w:rsidR="00321BB7" w:rsidRPr="00321BB7" w:rsidRDefault="00321BB7" w:rsidP="00321BB7">
            <w:pPr>
              <w:jc w:val="right"/>
              <w:rPr>
                <w:sz w:val="18"/>
                <w:szCs w:val="18"/>
              </w:rPr>
            </w:pPr>
            <w:r w:rsidRPr="00321BB7">
              <w:rPr>
                <w:sz w:val="18"/>
                <w:szCs w:val="18"/>
              </w:rPr>
              <w:t>0,50</w:t>
            </w:r>
          </w:p>
        </w:tc>
        <w:tc>
          <w:tcPr>
            <w:tcW w:w="392" w:type="pct"/>
            <w:tcBorders>
              <w:top w:val="nil"/>
              <w:left w:val="nil"/>
              <w:bottom w:val="nil"/>
              <w:right w:val="nil"/>
            </w:tcBorders>
            <w:shd w:val="clear" w:color="auto" w:fill="auto"/>
            <w:noWrap/>
            <w:vAlign w:val="bottom"/>
          </w:tcPr>
          <w:p w14:paraId="3BBA6099" w14:textId="77777777" w:rsidR="00321BB7" w:rsidRPr="00321BB7" w:rsidRDefault="00321BB7" w:rsidP="00321BB7">
            <w:pPr>
              <w:jc w:val="right"/>
              <w:rPr>
                <w:sz w:val="18"/>
                <w:szCs w:val="18"/>
              </w:rPr>
            </w:pPr>
            <w:r w:rsidRPr="00321BB7">
              <w:rPr>
                <w:sz w:val="18"/>
                <w:szCs w:val="18"/>
              </w:rPr>
              <w:t>0,50</w:t>
            </w:r>
          </w:p>
        </w:tc>
      </w:tr>
      <w:tr w:rsidR="00321BB7" w:rsidRPr="00293EA1" w14:paraId="7F265BE8" w14:textId="77777777" w:rsidTr="00321BB7">
        <w:trPr>
          <w:trHeight w:val="255"/>
          <w:jc w:val="center"/>
        </w:trPr>
        <w:tc>
          <w:tcPr>
            <w:tcW w:w="1721" w:type="pct"/>
            <w:tcBorders>
              <w:top w:val="nil"/>
              <w:left w:val="nil"/>
              <w:bottom w:val="nil"/>
              <w:right w:val="nil"/>
            </w:tcBorders>
            <w:shd w:val="clear" w:color="auto" w:fill="C0C0C0"/>
            <w:noWrap/>
            <w:vAlign w:val="center"/>
          </w:tcPr>
          <w:p w14:paraId="6188D22F" w14:textId="77777777" w:rsidR="00321BB7" w:rsidRPr="00293EA1" w:rsidRDefault="00321BB7" w:rsidP="00321BB7">
            <w:pPr>
              <w:jc w:val="left"/>
              <w:rPr>
                <w:rFonts w:cs="Arial"/>
                <w:sz w:val="18"/>
                <w:szCs w:val="18"/>
                <w:lang w:val="en-GB"/>
              </w:rPr>
            </w:pPr>
            <w:proofErr w:type="spellStart"/>
            <w:r w:rsidRPr="00293EA1">
              <w:rPr>
                <w:rFonts w:cs="Arial"/>
                <w:sz w:val="18"/>
                <w:szCs w:val="18"/>
                <w:lang w:val="en-GB"/>
              </w:rPr>
              <w:t>Λοι</w:t>
            </w:r>
            <w:proofErr w:type="spellEnd"/>
            <w:r w:rsidRPr="00293EA1">
              <w:rPr>
                <w:rFonts w:cs="Arial"/>
                <w:sz w:val="18"/>
                <w:szCs w:val="18"/>
                <w:lang w:val="en-GB"/>
              </w:rPr>
              <w:t>πές υπ</w:t>
            </w:r>
            <w:proofErr w:type="spellStart"/>
            <w:r w:rsidRPr="00293EA1">
              <w:rPr>
                <w:rFonts w:cs="Arial"/>
                <w:sz w:val="18"/>
                <w:szCs w:val="18"/>
                <w:lang w:val="en-GB"/>
              </w:rPr>
              <w:t>ηρεσίες</w:t>
            </w:r>
            <w:proofErr w:type="spellEnd"/>
          </w:p>
        </w:tc>
        <w:tc>
          <w:tcPr>
            <w:tcW w:w="413" w:type="pct"/>
            <w:tcBorders>
              <w:top w:val="nil"/>
              <w:left w:val="nil"/>
              <w:bottom w:val="nil"/>
              <w:right w:val="nil"/>
            </w:tcBorders>
            <w:shd w:val="clear" w:color="auto" w:fill="C0C0C0"/>
            <w:noWrap/>
            <w:vAlign w:val="bottom"/>
          </w:tcPr>
          <w:p w14:paraId="58F44D2F" w14:textId="77777777" w:rsidR="00321BB7" w:rsidRPr="00321BB7" w:rsidRDefault="00321BB7" w:rsidP="00321BB7">
            <w:pPr>
              <w:jc w:val="right"/>
              <w:rPr>
                <w:sz w:val="18"/>
                <w:szCs w:val="18"/>
              </w:rPr>
            </w:pPr>
            <w:r w:rsidRPr="00321BB7">
              <w:rPr>
                <w:sz w:val="18"/>
                <w:szCs w:val="18"/>
              </w:rPr>
              <w:t>28,51</w:t>
            </w:r>
          </w:p>
        </w:tc>
        <w:tc>
          <w:tcPr>
            <w:tcW w:w="411" w:type="pct"/>
            <w:tcBorders>
              <w:top w:val="nil"/>
              <w:left w:val="nil"/>
              <w:bottom w:val="nil"/>
              <w:right w:val="nil"/>
            </w:tcBorders>
            <w:shd w:val="clear" w:color="auto" w:fill="C0C0C0"/>
            <w:noWrap/>
            <w:vAlign w:val="bottom"/>
          </w:tcPr>
          <w:p w14:paraId="2F41E46F" w14:textId="77777777" w:rsidR="00321BB7" w:rsidRPr="00321BB7" w:rsidRDefault="00321BB7" w:rsidP="00321BB7">
            <w:pPr>
              <w:jc w:val="right"/>
              <w:rPr>
                <w:sz w:val="18"/>
                <w:szCs w:val="18"/>
              </w:rPr>
            </w:pPr>
            <w:r w:rsidRPr="00321BB7">
              <w:rPr>
                <w:sz w:val="18"/>
                <w:szCs w:val="18"/>
              </w:rPr>
              <w:t>27,17</w:t>
            </w:r>
          </w:p>
        </w:tc>
        <w:tc>
          <w:tcPr>
            <w:tcW w:w="440" w:type="pct"/>
            <w:tcBorders>
              <w:top w:val="nil"/>
              <w:left w:val="nil"/>
              <w:bottom w:val="nil"/>
              <w:right w:val="nil"/>
            </w:tcBorders>
            <w:shd w:val="clear" w:color="auto" w:fill="C0C0C0"/>
            <w:noWrap/>
            <w:vAlign w:val="bottom"/>
          </w:tcPr>
          <w:p w14:paraId="0DE5406F" w14:textId="77777777" w:rsidR="00321BB7" w:rsidRPr="00321BB7" w:rsidRDefault="00321BB7" w:rsidP="00321BB7">
            <w:pPr>
              <w:jc w:val="right"/>
              <w:rPr>
                <w:sz w:val="18"/>
                <w:szCs w:val="18"/>
              </w:rPr>
            </w:pPr>
            <w:r w:rsidRPr="00321BB7">
              <w:rPr>
                <w:sz w:val="18"/>
                <w:szCs w:val="18"/>
              </w:rPr>
              <w:t>5,95</w:t>
            </w:r>
          </w:p>
        </w:tc>
        <w:tc>
          <w:tcPr>
            <w:tcW w:w="442" w:type="pct"/>
            <w:tcBorders>
              <w:top w:val="nil"/>
              <w:left w:val="nil"/>
              <w:bottom w:val="nil"/>
              <w:right w:val="nil"/>
            </w:tcBorders>
            <w:shd w:val="clear" w:color="auto" w:fill="C0C0C0"/>
            <w:noWrap/>
            <w:vAlign w:val="bottom"/>
          </w:tcPr>
          <w:p w14:paraId="2EE58817" w14:textId="77777777" w:rsidR="00321BB7" w:rsidRPr="00321BB7" w:rsidRDefault="00321BB7" w:rsidP="00321BB7">
            <w:pPr>
              <w:jc w:val="right"/>
              <w:rPr>
                <w:sz w:val="18"/>
                <w:szCs w:val="18"/>
              </w:rPr>
            </w:pPr>
            <w:r w:rsidRPr="00321BB7">
              <w:rPr>
                <w:sz w:val="18"/>
                <w:szCs w:val="18"/>
              </w:rPr>
              <w:t>4,17</w:t>
            </w:r>
          </w:p>
        </w:tc>
        <w:tc>
          <w:tcPr>
            <w:tcW w:w="393" w:type="pct"/>
            <w:tcBorders>
              <w:top w:val="nil"/>
              <w:left w:val="nil"/>
              <w:bottom w:val="nil"/>
              <w:right w:val="nil"/>
            </w:tcBorders>
            <w:shd w:val="clear" w:color="auto" w:fill="C0C0C0"/>
            <w:noWrap/>
            <w:vAlign w:val="bottom"/>
          </w:tcPr>
          <w:p w14:paraId="36A2A2D0" w14:textId="77777777" w:rsidR="00321BB7" w:rsidRPr="00321BB7" w:rsidRDefault="00321BB7" w:rsidP="00321BB7">
            <w:pPr>
              <w:jc w:val="right"/>
              <w:rPr>
                <w:sz w:val="18"/>
                <w:szCs w:val="18"/>
              </w:rPr>
            </w:pPr>
            <w:r w:rsidRPr="00321BB7">
              <w:rPr>
                <w:sz w:val="18"/>
                <w:szCs w:val="18"/>
              </w:rPr>
              <w:t>0,53</w:t>
            </w:r>
          </w:p>
        </w:tc>
        <w:tc>
          <w:tcPr>
            <w:tcW w:w="394" w:type="pct"/>
            <w:tcBorders>
              <w:top w:val="nil"/>
              <w:left w:val="nil"/>
              <w:bottom w:val="nil"/>
              <w:right w:val="nil"/>
            </w:tcBorders>
            <w:shd w:val="clear" w:color="auto" w:fill="C0C0C0"/>
            <w:noWrap/>
            <w:vAlign w:val="bottom"/>
          </w:tcPr>
          <w:p w14:paraId="184CD1D8" w14:textId="77777777" w:rsidR="00321BB7" w:rsidRPr="00321BB7" w:rsidRDefault="00321BB7" w:rsidP="00321BB7">
            <w:pPr>
              <w:jc w:val="right"/>
              <w:rPr>
                <w:sz w:val="18"/>
                <w:szCs w:val="18"/>
              </w:rPr>
            </w:pPr>
            <w:r w:rsidRPr="00321BB7">
              <w:rPr>
                <w:sz w:val="18"/>
                <w:szCs w:val="18"/>
              </w:rPr>
              <w:t>0,54</w:t>
            </w:r>
          </w:p>
        </w:tc>
        <w:tc>
          <w:tcPr>
            <w:tcW w:w="393" w:type="pct"/>
            <w:tcBorders>
              <w:top w:val="nil"/>
              <w:left w:val="nil"/>
              <w:bottom w:val="nil"/>
              <w:right w:val="nil"/>
            </w:tcBorders>
            <w:shd w:val="clear" w:color="auto" w:fill="C0C0C0"/>
            <w:noWrap/>
            <w:vAlign w:val="bottom"/>
          </w:tcPr>
          <w:p w14:paraId="561AFB7F" w14:textId="77777777" w:rsidR="00321BB7" w:rsidRPr="00321BB7" w:rsidRDefault="00321BB7" w:rsidP="00321BB7">
            <w:pPr>
              <w:jc w:val="right"/>
              <w:rPr>
                <w:sz w:val="18"/>
                <w:szCs w:val="18"/>
              </w:rPr>
            </w:pPr>
            <w:r w:rsidRPr="00321BB7">
              <w:rPr>
                <w:sz w:val="18"/>
                <w:szCs w:val="18"/>
              </w:rPr>
              <w:t>1,05</w:t>
            </w:r>
          </w:p>
        </w:tc>
        <w:tc>
          <w:tcPr>
            <w:tcW w:w="392" w:type="pct"/>
            <w:tcBorders>
              <w:top w:val="nil"/>
              <w:left w:val="nil"/>
              <w:bottom w:val="nil"/>
              <w:right w:val="nil"/>
            </w:tcBorders>
            <w:shd w:val="clear" w:color="auto" w:fill="C0C0C0"/>
            <w:noWrap/>
            <w:vAlign w:val="bottom"/>
          </w:tcPr>
          <w:p w14:paraId="642F2188" w14:textId="77777777" w:rsidR="00321BB7" w:rsidRPr="00321BB7" w:rsidRDefault="00321BB7" w:rsidP="00321BB7">
            <w:pPr>
              <w:jc w:val="right"/>
              <w:rPr>
                <w:sz w:val="18"/>
                <w:szCs w:val="18"/>
              </w:rPr>
            </w:pPr>
            <w:r w:rsidRPr="00321BB7">
              <w:rPr>
                <w:sz w:val="18"/>
                <w:szCs w:val="18"/>
              </w:rPr>
              <w:t>1,02</w:t>
            </w:r>
          </w:p>
        </w:tc>
      </w:tr>
      <w:tr w:rsidR="00321BB7" w:rsidRPr="00293EA1" w14:paraId="06A86AE2" w14:textId="77777777" w:rsidTr="00321BB7">
        <w:trPr>
          <w:trHeight w:val="255"/>
          <w:jc w:val="center"/>
        </w:trPr>
        <w:tc>
          <w:tcPr>
            <w:tcW w:w="1721" w:type="pct"/>
            <w:tcBorders>
              <w:top w:val="nil"/>
              <w:left w:val="nil"/>
              <w:bottom w:val="nil"/>
              <w:right w:val="nil"/>
            </w:tcBorders>
            <w:shd w:val="clear" w:color="auto" w:fill="auto"/>
            <w:noWrap/>
            <w:vAlign w:val="center"/>
          </w:tcPr>
          <w:p w14:paraId="7DA0DCFF" w14:textId="77777777" w:rsidR="00321BB7" w:rsidRPr="00293EA1" w:rsidRDefault="00321BB7" w:rsidP="00321BB7">
            <w:pPr>
              <w:jc w:val="left"/>
              <w:rPr>
                <w:rFonts w:cs="Arial"/>
                <w:b/>
                <w:bCs/>
                <w:sz w:val="18"/>
                <w:szCs w:val="18"/>
                <w:lang w:val="en-GB"/>
              </w:rPr>
            </w:pPr>
            <w:proofErr w:type="spellStart"/>
            <w:r w:rsidRPr="00293EA1">
              <w:rPr>
                <w:rFonts w:cs="Arial"/>
                <w:b/>
                <w:bCs/>
                <w:sz w:val="18"/>
                <w:szCs w:val="18"/>
                <w:lang w:val="en-GB"/>
              </w:rPr>
              <w:t>Σύνολο</w:t>
            </w:r>
            <w:proofErr w:type="spellEnd"/>
          </w:p>
        </w:tc>
        <w:tc>
          <w:tcPr>
            <w:tcW w:w="413" w:type="pct"/>
            <w:tcBorders>
              <w:top w:val="nil"/>
              <w:left w:val="nil"/>
              <w:bottom w:val="nil"/>
              <w:right w:val="nil"/>
            </w:tcBorders>
            <w:shd w:val="clear" w:color="auto" w:fill="auto"/>
            <w:noWrap/>
          </w:tcPr>
          <w:p w14:paraId="1F4B1D72" w14:textId="77777777" w:rsidR="00321BB7" w:rsidRPr="00321BB7" w:rsidRDefault="00321BB7" w:rsidP="00321BB7">
            <w:pPr>
              <w:jc w:val="right"/>
              <w:rPr>
                <w:b/>
                <w:bCs/>
                <w:sz w:val="18"/>
                <w:szCs w:val="18"/>
              </w:rPr>
            </w:pPr>
            <w:r w:rsidRPr="00321BB7">
              <w:rPr>
                <w:b/>
                <w:bCs/>
                <w:sz w:val="18"/>
                <w:szCs w:val="18"/>
              </w:rPr>
              <w:t>21,62</w:t>
            </w:r>
          </w:p>
        </w:tc>
        <w:tc>
          <w:tcPr>
            <w:tcW w:w="411" w:type="pct"/>
            <w:tcBorders>
              <w:top w:val="nil"/>
              <w:left w:val="nil"/>
              <w:bottom w:val="nil"/>
              <w:right w:val="nil"/>
            </w:tcBorders>
            <w:shd w:val="clear" w:color="auto" w:fill="auto"/>
            <w:noWrap/>
          </w:tcPr>
          <w:p w14:paraId="1FB56D2A" w14:textId="77777777" w:rsidR="00321BB7" w:rsidRPr="00321BB7" w:rsidRDefault="00321BB7" w:rsidP="00321BB7">
            <w:pPr>
              <w:jc w:val="right"/>
              <w:rPr>
                <w:b/>
                <w:bCs/>
                <w:sz w:val="18"/>
                <w:szCs w:val="18"/>
              </w:rPr>
            </w:pPr>
            <w:r w:rsidRPr="00321BB7">
              <w:rPr>
                <w:b/>
                <w:bCs/>
                <w:sz w:val="18"/>
                <w:szCs w:val="18"/>
              </w:rPr>
              <w:t>22,57</w:t>
            </w:r>
          </w:p>
        </w:tc>
        <w:tc>
          <w:tcPr>
            <w:tcW w:w="440" w:type="pct"/>
            <w:tcBorders>
              <w:top w:val="nil"/>
              <w:left w:val="nil"/>
              <w:bottom w:val="nil"/>
              <w:right w:val="nil"/>
            </w:tcBorders>
            <w:shd w:val="clear" w:color="auto" w:fill="auto"/>
            <w:noWrap/>
          </w:tcPr>
          <w:p w14:paraId="0E29BA6E" w14:textId="77777777" w:rsidR="00321BB7" w:rsidRPr="00321BB7" w:rsidRDefault="00321BB7" w:rsidP="00321BB7">
            <w:pPr>
              <w:jc w:val="right"/>
              <w:rPr>
                <w:b/>
                <w:bCs/>
                <w:sz w:val="18"/>
                <w:szCs w:val="18"/>
              </w:rPr>
            </w:pPr>
            <w:r w:rsidRPr="00321BB7">
              <w:rPr>
                <w:b/>
                <w:bCs/>
                <w:sz w:val="18"/>
                <w:szCs w:val="18"/>
              </w:rPr>
              <w:t>4,00</w:t>
            </w:r>
          </w:p>
        </w:tc>
        <w:tc>
          <w:tcPr>
            <w:tcW w:w="442" w:type="pct"/>
            <w:tcBorders>
              <w:top w:val="nil"/>
              <w:left w:val="nil"/>
              <w:bottom w:val="nil"/>
              <w:right w:val="nil"/>
            </w:tcBorders>
            <w:shd w:val="clear" w:color="auto" w:fill="auto"/>
            <w:noWrap/>
          </w:tcPr>
          <w:p w14:paraId="71E1BD17" w14:textId="77777777" w:rsidR="00321BB7" w:rsidRPr="00321BB7" w:rsidRDefault="00321BB7" w:rsidP="00321BB7">
            <w:pPr>
              <w:jc w:val="right"/>
              <w:rPr>
                <w:b/>
                <w:bCs/>
                <w:sz w:val="18"/>
                <w:szCs w:val="18"/>
              </w:rPr>
            </w:pPr>
            <w:r w:rsidRPr="00321BB7">
              <w:rPr>
                <w:b/>
                <w:bCs/>
                <w:sz w:val="18"/>
                <w:szCs w:val="18"/>
              </w:rPr>
              <w:t>3,58</w:t>
            </w:r>
          </w:p>
        </w:tc>
        <w:tc>
          <w:tcPr>
            <w:tcW w:w="393" w:type="pct"/>
            <w:tcBorders>
              <w:top w:val="nil"/>
              <w:left w:val="nil"/>
              <w:bottom w:val="nil"/>
              <w:right w:val="nil"/>
            </w:tcBorders>
            <w:shd w:val="clear" w:color="auto" w:fill="auto"/>
            <w:noWrap/>
          </w:tcPr>
          <w:p w14:paraId="7C1FFEDB" w14:textId="77777777" w:rsidR="00321BB7" w:rsidRPr="00321BB7" w:rsidRDefault="00321BB7" w:rsidP="00321BB7">
            <w:pPr>
              <w:jc w:val="right"/>
              <w:rPr>
                <w:b/>
                <w:bCs/>
                <w:sz w:val="18"/>
                <w:szCs w:val="18"/>
              </w:rPr>
            </w:pPr>
            <w:r w:rsidRPr="00321BB7">
              <w:rPr>
                <w:b/>
                <w:bCs/>
                <w:sz w:val="18"/>
                <w:szCs w:val="18"/>
              </w:rPr>
              <w:t>0,61</w:t>
            </w:r>
          </w:p>
        </w:tc>
        <w:tc>
          <w:tcPr>
            <w:tcW w:w="394" w:type="pct"/>
            <w:tcBorders>
              <w:top w:val="nil"/>
              <w:left w:val="nil"/>
              <w:bottom w:val="nil"/>
              <w:right w:val="nil"/>
            </w:tcBorders>
            <w:shd w:val="clear" w:color="auto" w:fill="auto"/>
            <w:noWrap/>
          </w:tcPr>
          <w:p w14:paraId="72812026" w14:textId="77777777" w:rsidR="00321BB7" w:rsidRPr="00321BB7" w:rsidRDefault="00321BB7" w:rsidP="00321BB7">
            <w:pPr>
              <w:jc w:val="right"/>
              <w:rPr>
                <w:b/>
                <w:bCs/>
                <w:sz w:val="18"/>
                <w:szCs w:val="18"/>
              </w:rPr>
            </w:pPr>
            <w:r w:rsidRPr="00321BB7">
              <w:rPr>
                <w:b/>
                <w:bCs/>
                <w:sz w:val="18"/>
                <w:szCs w:val="18"/>
              </w:rPr>
              <w:t>0,61</w:t>
            </w:r>
          </w:p>
        </w:tc>
        <w:tc>
          <w:tcPr>
            <w:tcW w:w="393" w:type="pct"/>
            <w:tcBorders>
              <w:top w:val="nil"/>
              <w:left w:val="nil"/>
              <w:bottom w:val="nil"/>
              <w:right w:val="nil"/>
            </w:tcBorders>
            <w:shd w:val="clear" w:color="auto" w:fill="auto"/>
            <w:noWrap/>
          </w:tcPr>
          <w:p w14:paraId="5EBB571A" w14:textId="77777777" w:rsidR="00321BB7" w:rsidRPr="00321BB7" w:rsidRDefault="00321BB7" w:rsidP="00321BB7">
            <w:pPr>
              <w:jc w:val="right"/>
              <w:rPr>
                <w:b/>
                <w:bCs/>
                <w:sz w:val="18"/>
                <w:szCs w:val="18"/>
              </w:rPr>
            </w:pPr>
            <w:r w:rsidRPr="00321BB7">
              <w:rPr>
                <w:b/>
                <w:bCs/>
                <w:sz w:val="18"/>
                <w:szCs w:val="18"/>
              </w:rPr>
              <w:t>1,09</w:t>
            </w:r>
          </w:p>
        </w:tc>
        <w:tc>
          <w:tcPr>
            <w:tcW w:w="392" w:type="pct"/>
            <w:tcBorders>
              <w:top w:val="nil"/>
              <w:left w:val="nil"/>
              <w:bottom w:val="nil"/>
              <w:right w:val="nil"/>
            </w:tcBorders>
            <w:shd w:val="clear" w:color="auto" w:fill="auto"/>
            <w:noWrap/>
          </w:tcPr>
          <w:p w14:paraId="54095FAE" w14:textId="77777777" w:rsidR="00321BB7" w:rsidRPr="00321BB7" w:rsidRDefault="00321BB7" w:rsidP="00321BB7">
            <w:pPr>
              <w:jc w:val="right"/>
              <w:rPr>
                <w:b/>
                <w:bCs/>
                <w:sz w:val="18"/>
                <w:szCs w:val="18"/>
              </w:rPr>
            </w:pPr>
            <w:r w:rsidRPr="00321BB7">
              <w:rPr>
                <w:b/>
                <w:bCs/>
                <w:sz w:val="18"/>
                <w:szCs w:val="18"/>
              </w:rPr>
              <w:t>1,08</w:t>
            </w:r>
          </w:p>
        </w:tc>
      </w:tr>
      <w:tr w:rsidR="00441C9E" w:rsidRPr="00293EA1" w14:paraId="2BDB347F" w14:textId="77777777" w:rsidTr="00441C9E">
        <w:trPr>
          <w:trHeight w:val="255"/>
          <w:jc w:val="center"/>
        </w:trPr>
        <w:tc>
          <w:tcPr>
            <w:tcW w:w="5000" w:type="pct"/>
            <w:gridSpan w:val="9"/>
            <w:tcBorders>
              <w:top w:val="nil"/>
              <w:left w:val="nil"/>
              <w:bottom w:val="nil"/>
              <w:right w:val="nil"/>
            </w:tcBorders>
            <w:shd w:val="clear" w:color="auto" w:fill="auto"/>
            <w:noWrap/>
            <w:vAlign w:val="bottom"/>
          </w:tcPr>
          <w:p w14:paraId="06191D52" w14:textId="77777777" w:rsidR="00441C9E" w:rsidRPr="00293EA1" w:rsidRDefault="00441C9E" w:rsidP="00441C9E">
            <w:pPr>
              <w:jc w:val="left"/>
              <w:rPr>
                <w:rFonts w:cs="Arial"/>
                <w:bCs/>
                <w:i/>
                <w:sz w:val="16"/>
                <w:szCs w:val="16"/>
              </w:rPr>
            </w:pPr>
            <w:r w:rsidRPr="00293EA1">
              <w:rPr>
                <w:rFonts w:cs="Arial"/>
                <w:bCs/>
                <w:i/>
                <w:sz w:val="16"/>
                <w:szCs w:val="16"/>
              </w:rPr>
              <w:t>ΠΜΚ=Περιθώριο μεικτού κέρδους</w:t>
            </w:r>
          </w:p>
          <w:p w14:paraId="0C8695A1" w14:textId="77777777" w:rsidR="00441C9E" w:rsidRPr="00293EA1" w:rsidRDefault="00441C9E" w:rsidP="00441C9E">
            <w:pPr>
              <w:jc w:val="left"/>
              <w:rPr>
                <w:rFonts w:cs="Arial"/>
                <w:bCs/>
                <w:i/>
                <w:sz w:val="16"/>
                <w:szCs w:val="16"/>
              </w:rPr>
            </w:pPr>
            <w:r w:rsidRPr="00293EA1">
              <w:rPr>
                <w:rFonts w:cs="Arial"/>
                <w:bCs/>
                <w:i/>
                <w:sz w:val="16"/>
                <w:szCs w:val="16"/>
              </w:rPr>
              <w:t>ΠΚΚ=Περιθώριο καθαρού κέρδους</w:t>
            </w:r>
          </w:p>
          <w:p w14:paraId="2226F5DE" w14:textId="77777777" w:rsidR="00441C9E" w:rsidRPr="00293EA1" w:rsidRDefault="00441C9E" w:rsidP="00441C9E">
            <w:pPr>
              <w:jc w:val="left"/>
              <w:rPr>
                <w:rFonts w:cs="Arial"/>
                <w:bCs/>
                <w:i/>
                <w:sz w:val="16"/>
                <w:szCs w:val="16"/>
              </w:rPr>
            </w:pPr>
            <w:r w:rsidRPr="00293EA1">
              <w:rPr>
                <w:rFonts w:cs="Arial"/>
                <w:bCs/>
                <w:i/>
                <w:sz w:val="16"/>
                <w:szCs w:val="16"/>
              </w:rPr>
              <w:t>ΔΕ=Δανειακή επιβάρυνση</w:t>
            </w:r>
          </w:p>
          <w:p w14:paraId="4BB2F7DA" w14:textId="77777777" w:rsidR="00441C9E" w:rsidRPr="00293EA1" w:rsidRDefault="00441C9E" w:rsidP="00441C9E">
            <w:pPr>
              <w:jc w:val="left"/>
              <w:rPr>
                <w:rFonts w:cs="Arial"/>
                <w:bCs/>
                <w:i/>
                <w:sz w:val="16"/>
                <w:szCs w:val="16"/>
              </w:rPr>
            </w:pPr>
            <w:r w:rsidRPr="00293EA1">
              <w:rPr>
                <w:rFonts w:cs="Arial"/>
                <w:bCs/>
                <w:i/>
                <w:sz w:val="16"/>
                <w:szCs w:val="16"/>
              </w:rPr>
              <w:t>ΓΡ=Γενική ρευστότητα</w:t>
            </w:r>
          </w:p>
        </w:tc>
      </w:tr>
    </w:tbl>
    <w:p w14:paraId="1379BEDC" w14:textId="77777777" w:rsidR="00030CCF" w:rsidRPr="00293EA1" w:rsidRDefault="00030CCF" w:rsidP="002B7B5A">
      <w:pPr>
        <w:suppressAutoHyphens/>
        <w:spacing w:line="360" w:lineRule="auto"/>
        <w:rPr>
          <w:szCs w:val="20"/>
        </w:rPr>
      </w:pPr>
    </w:p>
    <w:p w14:paraId="409BC5C7" w14:textId="77777777" w:rsidR="00A23333" w:rsidRPr="00171EE2" w:rsidRDefault="00AB0156" w:rsidP="00B96C69">
      <w:pPr>
        <w:suppressAutoHyphens/>
        <w:spacing w:line="360" w:lineRule="auto"/>
        <w:ind w:firstLine="720"/>
        <w:rPr>
          <w:szCs w:val="20"/>
        </w:rPr>
      </w:pPr>
      <w:r w:rsidRPr="00236FE6">
        <w:rPr>
          <w:szCs w:val="20"/>
        </w:rPr>
        <w:t>Σε κλαδικό επίπεδο</w:t>
      </w:r>
      <w:r w:rsidR="008F7345" w:rsidRPr="00236FE6">
        <w:rPr>
          <w:szCs w:val="20"/>
        </w:rPr>
        <w:t>,</w:t>
      </w:r>
      <w:r w:rsidRPr="00236FE6">
        <w:rPr>
          <w:szCs w:val="20"/>
        </w:rPr>
        <w:t xml:space="preserve"> το υψηλότερο περιθώριο μ</w:t>
      </w:r>
      <w:r w:rsidR="002A7D56" w:rsidRPr="00236FE6">
        <w:rPr>
          <w:szCs w:val="20"/>
        </w:rPr>
        <w:t>ε</w:t>
      </w:r>
      <w:r w:rsidR="008F7345" w:rsidRPr="00236FE6">
        <w:rPr>
          <w:szCs w:val="20"/>
        </w:rPr>
        <w:t>ικτού κέρδους</w:t>
      </w:r>
      <w:r w:rsidR="00F72AD2" w:rsidRPr="00236FE6">
        <w:rPr>
          <w:szCs w:val="20"/>
        </w:rPr>
        <w:t xml:space="preserve"> τόσο το 2018 όσο και το 2017</w:t>
      </w:r>
      <w:r w:rsidRPr="00236FE6">
        <w:rPr>
          <w:szCs w:val="20"/>
        </w:rPr>
        <w:t xml:space="preserve"> είχαν οι κλάδοι</w:t>
      </w:r>
      <w:r w:rsidR="00F72AD2" w:rsidRPr="00236FE6">
        <w:rPr>
          <w:szCs w:val="20"/>
        </w:rPr>
        <w:t xml:space="preserve"> των</w:t>
      </w:r>
      <w:r w:rsidRPr="00236FE6">
        <w:rPr>
          <w:szCs w:val="20"/>
        </w:rPr>
        <w:t xml:space="preserve"> </w:t>
      </w:r>
      <w:r w:rsidR="008F7345" w:rsidRPr="00236FE6">
        <w:rPr>
          <w:szCs w:val="20"/>
        </w:rPr>
        <w:t>Μεταφορών-Επικοινωνιών</w:t>
      </w:r>
      <w:r w:rsidR="00F72AD2" w:rsidRPr="00236FE6">
        <w:rPr>
          <w:szCs w:val="20"/>
        </w:rPr>
        <w:t xml:space="preserve"> (43,4</w:t>
      </w:r>
      <w:r w:rsidR="00236FE6" w:rsidRPr="00236FE6">
        <w:rPr>
          <w:szCs w:val="20"/>
        </w:rPr>
        <w:t>0</w:t>
      </w:r>
      <w:r w:rsidR="00F72AD2" w:rsidRPr="00236FE6">
        <w:rPr>
          <w:szCs w:val="20"/>
        </w:rPr>
        <w:t>% το 2018)</w:t>
      </w:r>
      <w:r w:rsidR="008F7345" w:rsidRPr="00236FE6">
        <w:rPr>
          <w:szCs w:val="20"/>
        </w:rPr>
        <w:t xml:space="preserve"> και Ξενοδοχείων-Εστιατορίων</w:t>
      </w:r>
      <w:r w:rsidR="00E049DD" w:rsidRPr="00236FE6">
        <w:rPr>
          <w:szCs w:val="20"/>
        </w:rPr>
        <w:t xml:space="preserve"> (41,41%).</w:t>
      </w:r>
      <w:r w:rsidR="00E049DD">
        <w:rPr>
          <w:szCs w:val="20"/>
        </w:rPr>
        <w:t xml:space="preserve"> </w:t>
      </w:r>
      <w:r w:rsidR="00A23333" w:rsidRPr="00783F86">
        <w:rPr>
          <w:szCs w:val="20"/>
        </w:rPr>
        <w:t xml:space="preserve">Ο δείκτης δανειακής επιβάρυνσης ήταν στάσιμος την εξεταζόμενη διετία (0,61) και ο δείκτης γενικής ρευστότητας δεν παρουσίασε αξιόλογη μεταβολή (2018:1,09, 2017:1,08).  </w:t>
      </w:r>
    </w:p>
    <w:p w14:paraId="32FF448D" w14:textId="77777777" w:rsidR="003F6D52" w:rsidRPr="00293EA1" w:rsidRDefault="003F6D52" w:rsidP="002B7B5A">
      <w:pPr>
        <w:suppressAutoHyphens/>
        <w:spacing w:line="360" w:lineRule="auto"/>
        <w:rPr>
          <w:szCs w:val="20"/>
        </w:rPr>
      </w:pPr>
    </w:p>
    <w:p w14:paraId="05F5A639" w14:textId="77777777" w:rsidR="007B1D38" w:rsidRPr="00293EA1" w:rsidRDefault="008F7345" w:rsidP="002B7B5A">
      <w:pPr>
        <w:suppressAutoHyphens/>
        <w:spacing w:line="360" w:lineRule="auto"/>
        <w:rPr>
          <w:szCs w:val="20"/>
        </w:rPr>
      </w:pPr>
      <w:r w:rsidRPr="00293EA1">
        <w:rPr>
          <w:szCs w:val="20"/>
        </w:rPr>
        <w:t xml:space="preserve"> </w:t>
      </w:r>
    </w:p>
    <w:p w14:paraId="3BF699BF" w14:textId="77777777" w:rsidR="002B7B5A" w:rsidRPr="00293EA1" w:rsidRDefault="00077CD4" w:rsidP="00030CCF">
      <w:pPr>
        <w:suppressAutoHyphens/>
        <w:spacing w:line="360" w:lineRule="auto"/>
        <w:jc w:val="center"/>
        <w:rPr>
          <w:szCs w:val="20"/>
        </w:rPr>
      </w:pPr>
      <w:r w:rsidRPr="00077CD4">
        <w:rPr>
          <w:noProof/>
        </w:rPr>
        <w:lastRenderedPageBreak/>
        <w:drawing>
          <wp:inline distT="0" distB="0" distL="0" distR="0" wp14:anchorId="7F70ADD0" wp14:editId="20C9104E">
            <wp:extent cx="4562475" cy="2505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2505075"/>
                    </a:xfrm>
                    <a:prstGeom prst="rect">
                      <a:avLst/>
                    </a:prstGeom>
                    <a:noFill/>
                    <a:ln>
                      <a:noFill/>
                    </a:ln>
                  </pic:spPr>
                </pic:pic>
              </a:graphicData>
            </a:graphic>
          </wp:inline>
        </w:drawing>
      </w:r>
    </w:p>
    <w:p w14:paraId="69C12EFC" w14:textId="7F1B7B51" w:rsidR="00112AAE" w:rsidRDefault="00390721" w:rsidP="00B96C69">
      <w:pPr>
        <w:suppressAutoHyphens/>
        <w:spacing w:line="360" w:lineRule="auto"/>
        <w:ind w:firstLine="720"/>
        <w:rPr>
          <w:szCs w:val="20"/>
        </w:rPr>
      </w:pPr>
      <w:r w:rsidRPr="00783F86">
        <w:rPr>
          <w:szCs w:val="20"/>
        </w:rPr>
        <w:t>Αύξηση κατά 1,2 ποσοστιαίες μονάδες παρουσίασε</w:t>
      </w:r>
      <w:r w:rsidR="00112AAE" w:rsidRPr="00783F86">
        <w:rPr>
          <w:szCs w:val="20"/>
        </w:rPr>
        <w:t xml:space="preserve"> ο δείκτης αποδοτικότητας ιδίων κεφαλαίων του συνόλου των εταιρειών, ο οποίος ανήλθε σε 7,8% το 2018 από 6,6% το προηγούμενο έτος. </w:t>
      </w:r>
    </w:p>
    <w:p w14:paraId="5C56CB95" w14:textId="77777777" w:rsidR="00B96C69" w:rsidRPr="00783F86" w:rsidRDefault="00B96C69" w:rsidP="00B96C69">
      <w:pPr>
        <w:suppressAutoHyphens/>
        <w:spacing w:line="360" w:lineRule="auto"/>
        <w:ind w:firstLine="720"/>
        <w:rPr>
          <w:szCs w:val="20"/>
        </w:rPr>
      </w:pPr>
    </w:p>
    <w:p w14:paraId="3334655F" w14:textId="77777777" w:rsidR="00A858EE" w:rsidRPr="00C3481A" w:rsidRDefault="008E7574" w:rsidP="00B96C69">
      <w:pPr>
        <w:suppressAutoHyphens/>
        <w:spacing w:line="360" w:lineRule="auto"/>
        <w:ind w:firstLine="720"/>
        <w:rPr>
          <w:szCs w:val="20"/>
        </w:rPr>
      </w:pPr>
      <w:r w:rsidRPr="00C3481A">
        <w:rPr>
          <w:szCs w:val="20"/>
        </w:rPr>
        <w:t>Σε κλαδικό επίπεδ</w:t>
      </w:r>
      <w:r w:rsidR="005552F8" w:rsidRPr="00C3481A">
        <w:rPr>
          <w:szCs w:val="20"/>
        </w:rPr>
        <w:t xml:space="preserve">ο, </w:t>
      </w:r>
      <w:r w:rsidR="00243677" w:rsidRPr="00C3481A">
        <w:rPr>
          <w:szCs w:val="20"/>
        </w:rPr>
        <w:t>θετικούς</w:t>
      </w:r>
      <w:r w:rsidR="005552F8" w:rsidRPr="00C3481A">
        <w:rPr>
          <w:szCs w:val="20"/>
        </w:rPr>
        <w:t xml:space="preserve"> δείκτες εμφάνισ</w:t>
      </w:r>
      <w:r w:rsidR="00735670" w:rsidRPr="00C3481A">
        <w:rPr>
          <w:szCs w:val="20"/>
        </w:rPr>
        <w:t xml:space="preserve">αν οι </w:t>
      </w:r>
      <w:r w:rsidR="00A47DC6" w:rsidRPr="00C3481A">
        <w:rPr>
          <w:szCs w:val="20"/>
        </w:rPr>
        <w:t xml:space="preserve">έξι </w:t>
      </w:r>
      <w:r w:rsidR="00243677" w:rsidRPr="00C3481A">
        <w:rPr>
          <w:szCs w:val="20"/>
        </w:rPr>
        <w:t xml:space="preserve">από τους εννέα επί μέρους κλάδους. </w:t>
      </w:r>
      <w:r w:rsidR="00810175" w:rsidRPr="00C3481A">
        <w:rPr>
          <w:szCs w:val="20"/>
        </w:rPr>
        <w:t xml:space="preserve">Τον </w:t>
      </w:r>
      <w:r w:rsidR="00243677" w:rsidRPr="00C3481A">
        <w:rPr>
          <w:szCs w:val="20"/>
        </w:rPr>
        <w:t>υψηλότε</w:t>
      </w:r>
      <w:r w:rsidR="00810175" w:rsidRPr="00C3481A">
        <w:rPr>
          <w:szCs w:val="20"/>
        </w:rPr>
        <w:t>ρο δείκτη</w:t>
      </w:r>
      <w:r w:rsidR="00BC25B1" w:rsidRPr="00C3481A">
        <w:rPr>
          <w:szCs w:val="20"/>
        </w:rPr>
        <w:t xml:space="preserve"> αποδοτικότητας ιδίων κεφαλαίων</w:t>
      </w:r>
      <w:r w:rsidR="00602278" w:rsidRPr="00C3481A">
        <w:rPr>
          <w:szCs w:val="20"/>
        </w:rPr>
        <w:t xml:space="preserve"> το</w:t>
      </w:r>
      <w:r w:rsidR="00A47DC6" w:rsidRPr="00C3481A">
        <w:rPr>
          <w:szCs w:val="20"/>
        </w:rPr>
        <w:t xml:space="preserve"> 2018</w:t>
      </w:r>
      <w:r w:rsidR="00810175" w:rsidRPr="00C3481A">
        <w:rPr>
          <w:szCs w:val="20"/>
        </w:rPr>
        <w:t xml:space="preserve"> εμφάνισ</w:t>
      </w:r>
      <w:r w:rsidR="00602278" w:rsidRPr="00C3481A">
        <w:rPr>
          <w:szCs w:val="20"/>
        </w:rPr>
        <w:t>ε</w:t>
      </w:r>
      <w:r w:rsidR="00810175" w:rsidRPr="00C3481A">
        <w:rPr>
          <w:szCs w:val="20"/>
        </w:rPr>
        <w:t xml:space="preserve"> </w:t>
      </w:r>
      <w:r w:rsidR="00602278" w:rsidRPr="00C3481A">
        <w:rPr>
          <w:szCs w:val="20"/>
        </w:rPr>
        <w:t>ο</w:t>
      </w:r>
      <w:r w:rsidR="00810175" w:rsidRPr="00C3481A">
        <w:rPr>
          <w:szCs w:val="20"/>
        </w:rPr>
        <w:t xml:space="preserve"> κλάδο</w:t>
      </w:r>
      <w:r w:rsidR="00602278" w:rsidRPr="00C3481A">
        <w:rPr>
          <w:szCs w:val="20"/>
        </w:rPr>
        <w:t>ς</w:t>
      </w:r>
      <w:r w:rsidR="00810175" w:rsidRPr="00C3481A">
        <w:rPr>
          <w:szCs w:val="20"/>
        </w:rPr>
        <w:t xml:space="preserve"> </w:t>
      </w:r>
      <w:r w:rsidR="00735670" w:rsidRPr="00C3481A">
        <w:rPr>
          <w:szCs w:val="20"/>
        </w:rPr>
        <w:t>της Μεταποίησης</w:t>
      </w:r>
      <w:r w:rsidR="00A47DC6" w:rsidRPr="00C3481A">
        <w:rPr>
          <w:szCs w:val="20"/>
        </w:rPr>
        <w:t xml:space="preserve"> (12,5%) αν και</w:t>
      </w:r>
      <w:r w:rsidR="00783F86" w:rsidRPr="00C3481A">
        <w:rPr>
          <w:szCs w:val="20"/>
        </w:rPr>
        <w:t xml:space="preserve"> ήταν </w:t>
      </w:r>
      <w:r w:rsidR="00A47DC6" w:rsidRPr="00C3481A">
        <w:rPr>
          <w:szCs w:val="20"/>
        </w:rPr>
        <w:t>οριακά μειωμένος σε σχέση με το 2017</w:t>
      </w:r>
      <w:r w:rsidR="00C3481A" w:rsidRPr="00C3481A">
        <w:rPr>
          <w:szCs w:val="20"/>
        </w:rPr>
        <w:t>. Α</w:t>
      </w:r>
      <w:r w:rsidR="00602278" w:rsidRPr="00C3481A">
        <w:rPr>
          <w:szCs w:val="20"/>
        </w:rPr>
        <w:t>κολούθησε</w:t>
      </w:r>
      <w:r w:rsidR="00C3481A" w:rsidRPr="00C3481A">
        <w:rPr>
          <w:szCs w:val="20"/>
        </w:rPr>
        <w:t xml:space="preserve">, </w:t>
      </w:r>
      <w:r w:rsidR="00783F86" w:rsidRPr="00C3481A">
        <w:rPr>
          <w:szCs w:val="20"/>
        </w:rPr>
        <w:t>με μικρή διαφορά</w:t>
      </w:r>
      <w:r w:rsidR="00C3481A" w:rsidRPr="00C3481A">
        <w:rPr>
          <w:szCs w:val="20"/>
        </w:rPr>
        <w:t xml:space="preserve">, </w:t>
      </w:r>
      <w:r w:rsidR="00A47DC6" w:rsidRPr="00C3481A">
        <w:rPr>
          <w:szCs w:val="20"/>
        </w:rPr>
        <w:t xml:space="preserve">ο κλάδος του Εμπορίου (12,1%), </w:t>
      </w:r>
      <w:r w:rsidR="00783F86" w:rsidRPr="00C3481A">
        <w:rPr>
          <w:szCs w:val="20"/>
        </w:rPr>
        <w:t xml:space="preserve">ο δείκτης του οποίου ήταν </w:t>
      </w:r>
      <w:r w:rsidR="00A47DC6" w:rsidRPr="00C3481A">
        <w:rPr>
          <w:szCs w:val="20"/>
        </w:rPr>
        <w:t>ελαφρά βελτιωμένος έναντι του προηγούμενου έτους.</w:t>
      </w:r>
    </w:p>
    <w:p w14:paraId="7C21AF98" w14:textId="77777777" w:rsidR="00A47DC6" w:rsidRPr="00A47DC6" w:rsidRDefault="00A47DC6" w:rsidP="00A47DC6">
      <w:pPr>
        <w:suppressAutoHyphens/>
        <w:spacing w:line="360" w:lineRule="auto"/>
        <w:rPr>
          <w:szCs w:val="20"/>
          <w:highlight w:val="cyan"/>
        </w:rPr>
      </w:pPr>
    </w:p>
    <w:p w14:paraId="335A625D" w14:textId="77777777" w:rsidR="008E4EA0" w:rsidRPr="00321BB7" w:rsidRDefault="0008757F" w:rsidP="000015D9">
      <w:pPr>
        <w:suppressAutoHyphens/>
        <w:contextualSpacing/>
        <w:jc w:val="center"/>
        <w:rPr>
          <w:b/>
          <w:bCs/>
          <w:sz w:val="18"/>
          <w:szCs w:val="18"/>
        </w:rPr>
      </w:pPr>
      <w:r w:rsidRPr="00293EA1">
        <w:rPr>
          <w:b/>
          <w:bCs/>
          <w:sz w:val="18"/>
          <w:szCs w:val="18"/>
        </w:rPr>
        <w:t>Αποδοτικότητα Ιδίων Κε</w:t>
      </w:r>
      <w:r w:rsidR="00014589" w:rsidRPr="00293EA1">
        <w:rPr>
          <w:b/>
          <w:bCs/>
          <w:sz w:val="18"/>
          <w:szCs w:val="18"/>
        </w:rPr>
        <w:t xml:space="preserve">φαλαίων του Εταιρικού Τομέα: </w:t>
      </w:r>
      <w:r w:rsidR="00D63C2F" w:rsidRPr="00293EA1">
        <w:rPr>
          <w:b/>
          <w:bCs/>
          <w:sz w:val="18"/>
          <w:szCs w:val="18"/>
        </w:rPr>
        <w:t>201</w:t>
      </w:r>
      <w:r w:rsidR="00321BB7" w:rsidRPr="00321BB7">
        <w:rPr>
          <w:b/>
          <w:bCs/>
          <w:sz w:val="18"/>
          <w:szCs w:val="18"/>
        </w:rPr>
        <w:t>8</w:t>
      </w:r>
      <w:r w:rsidR="00D63C2F" w:rsidRPr="00293EA1">
        <w:rPr>
          <w:b/>
          <w:bCs/>
          <w:sz w:val="18"/>
          <w:szCs w:val="18"/>
        </w:rPr>
        <w:t>-201</w:t>
      </w:r>
      <w:r w:rsidR="00321BB7" w:rsidRPr="00321BB7">
        <w:rPr>
          <w:b/>
          <w:bCs/>
          <w:sz w:val="18"/>
          <w:szCs w:val="18"/>
        </w:rPr>
        <w:t>7</w:t>
      </w:r>
    </w:p>
    <w:p w14:paraId="2D7C6546" w14:textId="77777777" w:rsidR="0008757F" w:rsidRPr="00293EA1" w:rsidRDefault="0008757F" w:rsidP="00B2122B">
      <w:pPr>
        <w:suppressAutoHyphens/>
        <w:contextualSpacing/>
        <w:jc w:val="center"/>
        <w:rPr>
          <w:b/>
          <w:bCs/>
          <w:sz w:val="18"/>
          <w:szCs w:val="18"/>
        </w:rPr>
      </w:pPr>
      <w:r w:rsidRPr="00293EA1">
        <w:rPr>
          <w:b/>
          <w:bCs/>
          <w:sz w:val="18"/>
          <w:szCs w:val="18"/>
        </w:rPr>
        <w:t>Κατανομή βάσει Τομέα</w:t>
      </w:r>
      <w:r w:rsidR="00D55FCF" w:rsidRPr="00293EA1">
        <w:rPr>
          <w:b/>
          <w:bCs/>
          <w:sz w:val="18"/>
          <w:szCs w:val="18"/>
        </w:rPr>
        <w:t xml:space="preserve"> (%)</w:t>
      </w:r>
    </w:p>
    <w:p w14:paraId="1845FFF4" w14:textId="77777777" w:rsidR="0060180A" w:rsidRPr="00293EA1" w:rsidRDefault="0008757F" w:rsidP="00B2122B">
      <w:pPr>
        <w:suppressAutoHyphens/>
        <w:jc w:val="center"/>
        <w:rPr>
          <w:i/>
          <w:iCs/>
          <w:sz w:val="18"/>
          <w:szCs w:val="18"/>
        </w:rPr>
      </w:pPr>
      <w:r w:rsidRPr="00293EA1">
        <w:rPr>
          <w:i/>
          <w:iCs/>
          <w:sz w:val="18"/>
          <w:szCs w:val="18"/>
        </w:rPr>
        <w:t>(Εξαιρουμένων των Χρηματοπιστωτικών Υπηρεσιών)</w:t>
      </w:r>
    </w:p>
    <w:p w14:paraId="5078FF18" w14:textId="77777777" w:rsidR="00EE0DD0" w:rsidRPr="00293EA1" w:rsidRDefault="00994BB8" w:rsidP="00B2122B">
      <w:pPr>
        <w:suppressAutoHyphens/>
        <w:jc w:val="center"/>
        <w:rPr>
          <w:i/>
          <w:iCs/>
          <w:sz w:val="18"/>
          <w:szCs w:val="18"/>
        </w:rPr>
      </w:pPr>
      <w:r w:rsidRPr="00994BB8">
        <w:rPr>
          <w:noProof/>
        </w:rPr>
        <w:drawing>
          <wp:inline distT="0" distB="0" distL="0" distR="0" wp14:anchorId="5C835108" wp14:editId="5AB5111A">
            <wp:extent cx="6120130" cy="3324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324225"/>
                    </a:xfrm>
                    <a:prstGeom prst="rect">
                      <a:avLst/>
                    </a:prstGeom>
                    <a:noFill/>
                    <a:ln>
                      <a:noFill/>
                    </a:ln>
                  </pic:spPr>
                </pic:pic>
              </a:graphicData>
            </a:graphic>
          </wp:inline>
        </w:drawing>
      </w:r>
    </w:p>
    <w:p w14:paraId="4CDF122F" w14:textId="572F2F33" w:rsidR="00CE15C3" w:rsidRPr="00293EA1" w:rsidRDefault="002F47C9" w:rsidP="00B96C69">
      <w:pPr>
        <w:suppressAutoHyphens/>
        <w:spacing w:line="360" w:lineRule="auto"/>
        <w:ind w:firstLine="720"/>
        <w:rPr>
          <w:b/>
          <w:bCs/>
          <w:sz w:val="18"/>
          <w:szCs w:val="18"/>
        </w:rPr>
      </w:pPr>
      <w:r w:rsidRPr="000B1CCA">
        <w:rPr>
          <w:szCs w:val="20"/>
        </w:rPr>
        <w:lastRenderedPageBreak/>
        <w:t>Διαφορετικές ήταν</w:t>
      </w:r>
      <w:r w:rsidR="000B1CCA" w:rsidRPr="000B1CCA">
        <w:rPr>
          <w:szCs w:val="20"/>
        </w:rPr>
        <w:t xml:space="preserve"> </w:t>
      </w:r>
      <w:r w:rsidRPr="000B1CCA">
        <w:rPr>
          <w:szCs w:val="20"/>
        </w:rPr>
        <w:t>οι ε</w:t>
      </w:r>
      <w:r w:rsidR="00751CBD" w:rsidRPr="000B1CCA">
        <w:rPr>
          <w:szCs w:val="20"/>
        </w:rPr>
        <w:t>πιδόσεις</w:t>
      </w:r>
      <w:r w:rsidRPr="000B1CCA">
        <w:rPr>
          <w:szCs w:val="20"/>
        </w:rPr>
        <w:t xml:space="preserve"> </w:t>
      </w:r>
      <w:r w:rsidR="00C606CB" w:rsidRPr="000B1CCA">
        <w:rPr>
          <w:szCs w:val="20"/>
        </w:rPr>
        <w:t>όσον αφορά στην</w:t>
      </w:r>
      <w:r w:rsidRPr="000B1CCA">
        <w:rPr>
          <w:szCs w:val="20"/>
        </w:rPr>
        <w:t xml:space="preserve"> κατανομή της αποδοτικότητας κατά μέγεθος επιχείρησης. </w:t>
      </w:r>
      <w:r w:rsidR="00D15136" w:rsidRPr="000B1CCA">
        <w:rPr>
          <w:szCs w:val="20"/>
        </w:rPr>
        <w:t>Το</w:t>
      </w:r>
      <w:r w:rsidR="009B3609" w:rsidRPr="000B1CCA">
        <w:rPr>
          <w:szCs w:val="20"/>
        </w:rPr>
        <w:t xml:space="preserve"> 2018</w:t>
      </w:r>
      <w:r w:rsidR="00751CBD" w:rsidRPr="000B1CCA">
        <w:rPr>
          <w:szCs w:val="20"/>
          <w:vertAlign w:val="superscript"/>
        </w:rPr>
        <w:t xml:space="preserve"> </w:t>
      </w:r>
      <w:r w:rsidR="00751CBD" w:rsidRPr="000B1CCA">
        <w:rPr>
          <w:szCs w:val="20"/>
        </w:rPr>
        <w:t>ο</w:t>
      </w:r>
      <w:r w:rsidRPr="000B1CCA">
        <w:rPr>
          <w:szCs w:val="20"/>
        </w:rPr>
        <w:t xml:space="preserve"> </w:t>
      </w:r>
      <w:r w:rsidR="00751CBD" w:rsidRPr="000B1CCA">
        <w:rPr>
          <w:szCs w:val="20"/>
        </w:rPr>
        <w:t>υψηλότερος δείκτης</w:t>
      </w:r>
      <w:r w:rsidRPr="000B1CCA">
        <w:rPr>
          <w:szCs w:val="20"/>
        </w:rPr>
        <w:t xml:space="preserve"> </w:t>
      </w:r>
      <w:r w:rsidR="000256C8" w:rsidRPr="000B1CCA">
        <w:rPr>
          <w:szCs w:val="20"/>
        </w:rPr>
        <w:t>αποδοτικότητας</w:t>
      </w:r>
      <w:r w:rsidR="00751CBD" w:rsidRPr="000B1CCA">
        <w:rPr>
          <w:szCs w:val="20"/>
        </w:rPr>
        <w:t xml:space="preserve"> ιδίων κεφαλαίων</w:t>
      </w:r>
      <w:r w:rsidR="00086739" w:rsidRPr="000B1CCA">
        <w:rPr>
          <w:szCs w:val="20"/>
        </w:rPr>
        <w:t xml:space="preserve"> </w:t>
      </w:r>
      <w:r w:rsidR="009D1A6B" w:rsidRPr="000B1CCA">
        <w:rPr>
          <w:szCs w:val="20"/>
        </w:rPr>
        <w:t>κ</w:t>
      </w:r>
      <w:r w:rsidRPr="000B1CCA">
        <w:rPr>
          <w:szCs w:val="20"/>
        </w:rPr>
        <w:t>αταγράφηκε</w:t>
      </w:r>
      <w:r w:rsidR="00D15136" w:rsidRPr="000B1CCA">
        <w:rPr>
          <w:szCs w:val="20"/>
        </w:rPr>
        <w:t xml:space="preserve"> στις </w:t>
      </w:r>
      <w:r w:rsidR="00151669" w:rsidRPr="000B1CCA">
        <w:rPr>
          <w:szCs w:val="20"/>
        </w:rPr>
        <w:t>μικρές</w:t>
      </w:r>
      <w:r w:rsidR="00D15136" w:rsidRPr="000B1CCA">
        <w:rPr>
          <w:szCs w:val="20"/>
        </w:rPr>
        <w:t xml:space="preserve"> επιχειρήσεις (με προσωπικό </w:t>
      </w:r>
      <w:r w:rsidR="00151669" w:rsidRPr="000B1CCA">
        <w:rPr>
          <w:szCs w:val="20"/>
        </w:rPr>
        <w:t>από 10 έως 49 άτομα) και ακολούθησαν οι μεσαίου μεγέθους επιχειρήσεις (προσωπικό 50-249 άτομα).</w:t>
      </w:r>
      <w:r w:rsidR="00151669" w:rsidRPr="00293EA1">
        <w:rPr>
          <w:szCs w:val="20"/>
        </w:rPr>
        <w:t xml:space="preserve"> </w:t>
      </w:r>
    </w:p>
    <w:p w14:paraId="26B020B6" w14:textId="77777777" w:rsidR="009B3609" w:rsidRDefault="009B3609" w:rsidP="00BC25B1">
      <w:pPr>
        <w:suppressAutoHyphens/>
        <w:jc w:val="center"/>
        <w:rPr>
          <w:b/>
          <w:bCs/>
          <w:sz w:val="18"/>
          <w:szCs w:val="18"/>
        </w:rPr>
      </w:pPr>
    </w:p>
    <w:p w14:paraId="4DE3A163" w14:textId="77777777" w:rsidR="00926439" w:rsidRPr="00321BB7" w:rsidRDefault="00926439" w:rsidP="00BC25B1">
      <w:pPr>
        <w:suppressAutoHyphens/>
        <w:jc w:val="center"/>
        <w:rPr>
          <w:b/>
          <w:bCs/>
          <w:sz w:val="18"/>
          <w:szCs w:val="18"/>
        </w:rPr>
      </w:pPr>
      <w:r w:rsidRPr="00293EA1">
        <w:rPr>
          <w:b/>
          <w:bCs/>
          <w:sz w:val="18"/>
          <w:szCs w:val="18"/>
        </w:rPr>
        <w:t>Αποδοτικότητα Ιδίων Κεφ</w:t>
      </w:r>
      <w:r w:rsidR="00D63C2F" w:rsidRPr="00293EA1">
        <w:rPr>
          <w:b/>
          <w:bCs/>
          <w:sz w:val="18"/>
          <w:szCs w:val="18"/>
        </w:rPr>
        <w:t>αλαίων του Εταιρικού Τομέα: 201</w:t>
      </w:r>
      <w:r w:rsidR="00321BB7" w:rsidRPr="00321BB7">
        <w:rPr>
          <w:b/>
          <w:bCs/>
          <w:sz w:val="18"/>
          <w:szCs w:val="18"/>
        </w:rPr>
        <w:t>8</w:t>
      </w:r>
    </w:p>
    <w:p w14:paraId="30B32071" w14:textId="77777777" w:rsidR="00926439" w:rsidRPr="00293EA1" w:rsidRDefault="00926439" w:rsidP="00BC25B1">
      <w:pPr>
        <w:suppressAutoHyphens/>
        <w:jc w:val="center"/>
        <w:rPr>
          <w:b/>
          <w:bCs/>
          <w:sz w:val="18"/>
          <w:szCs w:val="18"/>
        </w:rPr>
      </w:pPr>
      <w:r w:rsidRPr="00293EA1">
        <w:rPr>
          <w:b/>
          <w:bCs/>
          <w:sz w:val="18"/>
          <w:szCs w:val="18"/>
        </w:rPr>
        <w:t>Κατανομή βάσει Κλιμακίου Απασχόλησης (%)</w:t>
      </w:r>
    </w:p>
    <w:p w14:paraId="62F061D8" w14:textId="77777777" w:rsidR="00926439" w:rsidRPr="00293EA1" w:rsidRDefault="00926439" w:rsidP="00BC25B1">
      <w:pPr>
        <w:suppressAutoHyphens/>
        <w:jc w:val="center"/>
        <w:rPr>
          <w:i/>
          <w:iCs/>
          <w:sz w:val="18"/>
          <w:szCs w:val="18"/>
        </w:rPr>
      </w:pPr>
      <w:r w:rsidRPr="00293EA1">
        <w:rPr>
          <w:i/>
          <w:iCs/>
          <w:sz w:val="18"/>
          <w:szCs w:val="18"/>
        </w:rPr>
        <w:t>(Εξαιρουμένων των Χρηματοπιστωτικών Υπηρεσιών)</w:t>
      </w:r>
    </w:p>
    <w:p w14:paraId="3AE690A8" w14:textId="77777777" w:rsidR="009245B3" w:rsidRPr="00293EA1" w:rsidRDefault="009245B3" w:rsidP="009B6B11">
      <w:pPr>
        <w:suppressAutoHyphens/>
        <w:jc w:val="center"/>
        <w:rPr>
          <w:i/>
          <w:iCs/>
          <w:sz w:val="18"/>
          <w:szCs w:val="18"/>
        </w:rPr>
      </w:pPr>
    </w:p>
    <w:p w14:paraId="3A485A2B" w14:textId="77777777" w:rsidR="00751CBD" w:rsidRPr="00293EA1" w:rsidRDefault="00F87115" w:rsidP="00BC25B1">
      <w:pPr>
        <w:suppressAutoHyphens/>
        <w:jc w:val="center"/>
        <w:rPr>
          <w:b/>
          <w:bCs/>
          <w:sz w:val="18"/>
          <w:szCs w:val="18"/>
        </w:rPr>
      </w:pPr>
      <w:r w:rsidRPr="00F87115">
        <w:rPr>
          <w:noProof/>
        </w:rPr>
        <w:drawing>
          <wp:inline distT="0" distB="0" distL="0" distR="0" wp14:anchorId="0D8E1C8C" wp14:editId="1FE9EDBE">
            <wp:extent cx="5410200" cy="3030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3030265"/>
                    </a:xfrm>
                    <a:prstGeom prst="rect">
                      <a:avLst/>
                    </a:prstGeom>
                    <a:noFill/>
                    <a:ln>
                      <a:noFill/>
                    </a:ln>
                  </pic:spPr>
                </pic:pic>
              </a:graphicData>
            </a:graphic>
          </wp:inline>
        </w:drawing>
      </w:r>
    </w:p>
    <w:p w14:paraId="203E9828" w14:textId="77777777" w:rsidR="00AC0FD9" w:rsidRPr="000B1CCA" w:rsidRDefault="00CC154D" w:rsidP="00B96C69">
      <w:pPr>
        <w:suppressAutoHyphens/>
        <w:spacing w:line="360" w:lineRule="auto"/>
        <w:ind w:firstLine="720"/>
        <w:rPr>
          <w:szCs w:val="20"/>
        </w:rPr>
      </w:pPr>
      <w:r w:rsidRPr="000B1CCA">
        <w:rPr>
          <w:szCs w:val="20"/>
        </w:rPr>
        <w:t>Τέλος</w:t>
      </w:r>
      <w:r w:rsidR="00751CBD" w:rsidRPr="000B1CCA">
        <w:rPr>
          <w:szCs w:val="20"/>
        </w:rPr>
        <w:t>,</w:t>
      </w:r>
      <w:r w:rsidRPr="000B1CCA">
        <w:rPr>
          <w:szCs w:val="20"/>
        </w:rPr>
        <w:t xml:space="preserve"> όσον αφορά σε βασικά οικονομικά μεγέθη </w:t>
      </w:r>
      <w:r w:rsidR="00A771C6" w:rsidRPr="000B1CCA">
        <w:rPr>
          <w:szCs w:val="20"/>
        </w:rPr>
        <w:t>του συνόλου των</w:t>
      </w:r>
      <w:r w:rsidR="008600D7" w:rsidRPr="000B1CCA">
        <w:rPr>
          <w:szCs w:val="20"/>
        </w:rPr>
        <w:t xml:space="preserve"> 15.168</w:t>
      </w:r>
      <w:r w:rsidR="00B6372C" w:rsidRPr="000B1CCA">
        <w:rPr>
          <w:szCs w:val="20"/>
        </w:rPr>
        <w:t xml:space="preserve"> </w:t>
      </w:r>
      <w:r w:rsidR="00ED6E1C" w:rsidRPr="000B1CCA">
        <w:rPr>
          <w:szCs w:val="20"/>
        </w:rPr>
        <w:t>επιχειρήσεων προκύπτει ότι τα συνολικά κεφάλαια</w:t>
      </w:r>
      <w:r w:rsidRPr="000B1CCA">
        <w:rPr>
          <w:szCs w:val="20"/>
        </w:rPr>
        <w:t xml:space="preserve"> </w:t>
      </w:r>
      <w:r w:rsidR="00BC25B1" w:rsidRPr="000B1CCA">
        <w:rPr>
          <w:szCs w:val="20"/>
        </w:rPr>
        <w:t>(</w:t>
      </w:r>
      <w:r w:rsidRPr="000B1CCA">
        <w:rPr>
          <w:szCs w:val="20"/>
        </w:rPr>
        <w:t>του μη χρηματοπιστωτικού τομέα</w:t>
      </w:r>
      <w:r w:rsidR="00BC25B1" w:rsidRPr="000B1CCA">
        <w:rPr>
          <w:szCs w:val="20"/>
        </w:rPr>
        <w:t>)</w:t>
      </w:r>
      <w:r w:rsidRPr="000B1CCA">
        <w:rPr>
          <w:szCs w:val="20"/>
        </w:rPr>
        <w:t xml:space="preserve"> </w:t>
      </w:r>
      <w:r w:rsidR="00A771C6" w:rsidRPr="000B1CCA">
        <w:rPr>
          <w:szCs w:val="20"/>
        </w:rPr>
        <w:t>παρουσίασαν</w:t>
      </w:r>
      <w:r w:rsidR="000B1CCA" w:rsidRPr="000B1CCA">
        <w:rPr>
          <w:szCs w:val="20"/>
        </w:rPr>
        <w:t xml:space="preserve"> μικρή</w:t>
      </w:r>
      <w:r w:rsidR="00A771C6" w:rsidRPr="000B1CCA">
        <w:rPr>
          <w:szCs w:val="20"/>
        </w:rPr>
        <w:t xml:space="preserve"> αύξηση</w:t>
      </w:r>
      <w:r w:rsidR="000B1CCA" w:rsidRPr="000B1CCA">
        <w:rPr>
          <w:szCs w:val="20"/>
        </w:rPr>
        <w:t xml:space="preserve"> </w:t>
      </w:r>
      <w:r w:rsidR="00AC0FD9" w:rsidRPr="000B1CCA">
        <w:rPr>
          <w:szCs w:val="20"/>
        </w:rPr>
        <w:t xml:space="preserve">το 2018/2017. </w:t>
      </w:r>
      <w:r w:rsidR="00A771C6" w:rsidRPr="000B1CCA">
        <w:rPr>
          <w:szCs w:val="20"/>
        </w:rPr>
        <w:t xml:space="preserve">Συγκεκριμένα, </w:t>
      </w:r>
      <w:r w:rsidRPr="000B1CCA">
        <w:rPr>
          <w:szCs w:val="20"/>
        </w:rPr>
        <w:t xml:space="preserve">το συνολικό </w:t>
      </w:r>
      <w:r w:rsidRPr="000B1CCA">
        <w:rPr>
          <w:b/>
          <w:szCs w:val="20"/>
        </w:rPr>
        <w:t>ενεργητικό</w:t>
      </w:r>
      <w:r w:rsidRPr="000B1CCA">
        <w:rPr>
          <w:szCs w:val="20"/>
        </w:rPr>
        <w:t xml:space="preserve"> αυξήθηκε κατά</w:t>
      </w:r>
      <w:r w:rsidR="00AC0FD9" w:rsidRPr="000B1CCA">
        <w:rPr>
          <w:szCs w:val="20"/>
        </w:rPr>
        <w:t xml:space="preserve"> 1,82% </w:t>
      </w:r>
      <w:r w:rsidR="00BC25B1" w:rsidRPr="000B1CCA">
        <w:rPr>
          <w:szCs w:val="20"/>
        </w:rPr>
        <w:t xml:space="preserve">ανερχόμενο </w:t>
      </w:r>
      <w:r w:rsidR="009D51FF" w:rsidRPr="000B1CCA">
        <w:rPr>
          <w:szCs w:val="20"/>
        </w:rPr>
        <w:t>σε</w:t>
      </w:r>
      <w:r w:rsidR="00B80824" w:rsidRPr="000B1CCA">
        <w:rPr>
          <w:szCs w:val="20"/>
        </w:rPr>
        <w:t xml:space="preserve"> €</w:t>
      </w:r>
      <w:r w:rsidR="00AC0FD9" w:rsidRPr="000B1CCA">
        <w:rPr>
          <w:szCs w:val="20"/>
        </w:rPr>
        <w:t>21</w:t>
      </w:r>
      <w:r w:rsidR="00CD50D0">
        <w:rPr>
          <w:szCs w:val="20"/>
        </w:rPr>
        <w:t>4</w:t>
      </w:r>
      <w:r w:rsidR="00AC0FD9" w:rsidRPr="000B1CCA">
        <w:rPr>
          <w:szCs w:val="20"/>
        </w:rPr>
        <w:t>,</w:t>
      </w:r>
      <w:r w:rsidR="00CD50D0">
        <w:rPr>
          <w:szCs w:val="20"/>
        </w:rPr>
        <w:t>0</w:t>
      </w:r>
      <w:r w:rsidRPr="000B1CCA">
        <w:rPr>
          <w:szCs w:val="20"/>
        </w:rPr>
        <w:t xml:space="preserve"> δισ. </w:t>
      </w:r>
      <w:r w:rsidR="00AC0FD9" w:rsidRPr="000B1CCA">
        <w:rPr>
          <w:szCs w:val="20"/>
        </w:rPr>
        <w:t>Μικρή αύξηση παρουσίασαν τόσο τα καθαρά πάγια (1,</w:t>
      </w:r>
      <w:r w:rsidR="000B1CCA" w:rsidRPr="000B1CCA">
        <w:rPr>
          <w:szCs w:val="20"/>
        </w:rPr>
        <w:t>86</w:t>
      </w:r>
      <w:r w:rsidR="00AC0FD9" w:rsidRPr="000B1CCA">
        <w:rPr>
          <w:szCs w:val="20"/>
        </w:rPr>
        <w:t>%) όσο και το κυκλοφορούν ενεργητικό (1,7</w:t>
      </w:r>
      <w:r w:rsidR="000B1CCA" w:rsidRPr="000B1CCA">
        <w:rPr>
          <w:szCs w:val="20"/>
        </w:rPr>
        <w:t>5</w:t>
      </w:r>
      <w:r w:rsidR="00AC0FD9" w:rsidRPr="000B1CCA">
        <w:rPr>
          <w:szCs w:val="20"/>
        </w:rPr>
        <w:t xml:space="preserve">%). </w:t>
      </w:r>
    </w:p>
    <w:p w14:paraId="1C5FEEE1" w14:textId="77777777" w:rsidR="000578B2" w:rsidRPr="00293EA1" w:rsidRDefault="000578B2" w:rsidP="00CC154D">
      <w:pPr>
        <w:suppressAutoHyphens/>
        <w:spacing w:line="360" w:lineRule="auto"/>
        <w:rPr>
          <w:szCs w:val="20"/>
        </w:rPr>
      </w:pPr>
    </w:p>
    <w:p w14:paraId="275BF7FE" w14:textId="77777777" w:rsidR="00817588" w:rsidRPr="00293EA1" w:rsidRDefault="009D4760" w:rsidP="00CC154D">
      <w:pPr>
        <w:suppressAutoHyphens/>
        <w:spacing w:line="360" w:lineRule="auto"/>
        <w:rPr>
          <w:szCs w:val="20"/>
        </w:rPr>
      </w:pPr>
      <w:r w:rsidRPr="009D4760">
        <w:rPr>
          <w:noProof/>
        </w:rPr>
        <w:drawing>
          <wp:inline distT="0" distB="0" distL="0" distR="0" wp14:anchorId="6C52656B" wp14:editId="30099A15">
            <wp:extent cx="6120130" cy="24498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449830"/>
                    </a:xfrm>
                    <a:prstGeom prst="rect">
                      <a:avLst/>
                    </a:prstGeom>
                    <a:noFill/>
                    <a:ln>
                      <a:noFill/>
                    </a:ln>
                  </pic:spPr>
                </pic:pic>
              </a:graphicData>
            </a:graphic>
          </wp:inline>
        </w:drawing>
      </w:r>
    </w:p>
    <w:p w14:paraId="20E4BAD2" w14:textId="5754CD0F" w:rsidR="00EF512B" w:rsidRPr="000B1CCA" w:rsidRDefault="00CC154D" w:rsidP="00B96C69">
      <w:pPr>
        <w:suppressAutoHyphens/>
        <w:spacing w:line="360" w:lineRule="auto"/>
        <w:ind w:firstLine="720"/>
        <w:rPr>
          <w:szCs w:val="20"/>
        </w:rPr>
      </w:pPr>
      <w:r w:rsidRPr="000B1CCA">
        <w:rPr>
          <w:szCs w:val="20"/>
        </w:rPr>
        <w:lastRenderedPageBreak/>
        <w:t>Από πλευ</w:t>
      </w:r>
      <w:r w:rsidR="000C76E5" w:rsidRPr="000B1CCA">
        <w:rPr>
          <w:szCs w:val="20"/>
        </w:rPr>
        <w:t xml:space="preserve">ράς παθητικού, τα </w:t>
      </w:r>
      <w:r w:rsidR="000C76E5" w:rsidRPr="000B1CCA">
        <w:rPr>
          <w:b/>
          <w:szCs w:val="20"/>
        </w:rPr>
        <w:t>ίδια κεφάλαια</w:t>
      </w:r>
      <w:r w:rsidR="000C76E5" w:rsidRPr="000B1CCA">
        <w:rPr>
          <w:szCs w:val="20"/>
        </w:rPr>
        <w:t xml:space="preserve"> αυξήθηκαν</w:t>
      </w:r>
      <w:r w:rsidR="00AC0FD9" w:rsidRPr="000B1CCA">
        <w:rPr>
          <w:szCs w:val="20"/>
        </w:rPr>
        <w:t xml:space="preserve"> ελαφρώς κατά 1,5</w:t>
      </w:r>
      <w:r w:rsidR="000B1CCA" w:rsidRPr="000B1CCA">
        <w:rPr>
          <w:szCs w:val="20"/>
        </w:rPr>
        <w:t>2</w:t>
      </w:r>
      <w:r w:rsidR="00AC0FD9" w:rsidRPr="000B1CCA">
        <w:rPr>
          <w:szCs w:val="20"/>
        </w:rPr>
        <w:t xml:space="preserve">% </w:t>
      </w:r>
      <w:r w:rsidR="000C76E5" w:rsidRPr="000B1CCA">
        <w:rPr>
          <w:szCs w:val="20"/>
        </w:rPr>
        <w:t>ανερχόμενα</w:t>
      </w:r>
      <w:r w:rsidR="00AC0FD9" w:rsidRPr="000B1CCA">
        <w:rPr>
          <w:szCs w:val="20"/>
        </w:rPr>
        <w:t xml:space="preserve"> σε €79,7</w:t>
      </w:r>
      <w:r w:rsidR="000C76E5" w:rsidRPr="000B1CCA">
        <w:rPr>
          <w:szCs w:val="20"/>
        </w:rPr>
        <w:t xml:space="preserve"> δισ.</w:t>
      </w:r>
      <w:r w:rsidR="008C343E" w:rsidRPr="000B1CCA">
        <w:rPr>
          <w:szCs w:val="20"/>
        </w:rPr>
        <w:t xml:space="preserve"> το 201</w:t>
      </w:r>
      <w:r w:rsidR="00AC0FD9" w:rsidRPr="000B1CCA">
        <w:rPr>
          <w:szCs w:val="20"/>
        </w:rPr>
        <w:t>8</w:t>
      </w:r>
      <w:r w:rsidR="008C343E" w:rsidRPr="000B1CCA">
        <w:rPr>
          <w:szCs w:val="20"/>
        </w:rPr>
        <w:t>.</w:t>
      </w:r>
      <w:r w:rsidR="000C76E5" w:rsidRPr="000B1CCA">
        <w:rPr>
          <w:szCs w:val="20"/>
        </w:rPr>
        <w:t xml:space="preserve"> </w:t>
      </w:r>
      <w:r w:rsidR="00EF512B" w:rsidRPr="000B1CCA">
        <w:rPr>
          <w:szCs w:val="20"/>
        </w:rPr>
        <w:t xml:space="preserve">Παράλληλα, οι </w:t>
      </w:r>
      <w:r w:rsidR="000C76E5" w:rsidRPr="000B1CCA">
        <w:rPr>
          <w:szCs w:val="20"/>
        </w:rPr>
        <w:t xml:space="preserve">συνολικές </w:t>
      </w:r>
      <w:r w:rsidR="000C76E5" w:rsidRPr="00BF486D">
        <w:rPr>
          <w:szCs w:val="20"/>
        </w:rPr>
        <w:t xml:space="preserve">υποχρεώσεις </w:t>
      </w:r>
      <w:r w:rsidR="000C76E5" w:rsidRPr="000B1CCA">
        <w:rPr>
          <w:szCs w:val="20"/>
        </w:rPr>
        <w:t>αυξήθηκαν</w:t>
      </w:r>
      <w:r w:rsidR="008C343E" w:rsidRPr="000B1CCA">
        <w:rPr>
          <w:szCs w:val="20"/>
        </w:rPr>
        <w:t xml:space="preserve"> με </w:t>
      </w:r>
      <w:r w:rsidR="00EF512B" w:rsidRPr="000B1CCA">
        <w:rPr>
          <w:szCs w:val="20"/>
        </w:rPr>
        <w:t>παρόμοιο ρυθμό (1,8</w:t>
      </w:r>
      <w:r w:rsidR="000B1CCA" w:rsidRPr="000B1CCA">
        <w:rPr>
          <w:szCs w:val="20"/>
        </w:rPr>
        <w:t>4</w:t>
      </w:r>
      <w:r w:rsidR="00EF512B" w:rsidRPr="000B1CCA">
        <w:rPr>
          <w:szCs w:val="20"/>
        </w:rPr>
        <w:t>%)</w:t>
      </w:r>
      <w:r w:rsidR="008C343E" w:rsidRPr="000B1CCA">
        <w:rPr>
          <w:szCs w:val="20"/>
        </w:rPr>
        <w:t xml:space="preserve"> </w:t>
      </w:r>
      <w:r w:rsidR="00EF512B" w:rsidRPr="000B1CCA">
        <w:rPr>
          <w:szCs w:val="20"/>
        </w:rPr>
        <w:t xml:space="preserve">με αποτέλεσμα η </w:t>
      </w:r>
      <w:r w:rsidR="008C343E" w:rsidRPr="000B1CCA">
        <w:rPr>
          <w:szCs w:val="20"/>
        </w:rPr>
        <w:t>σχέση ξένων προς ίδια κεφάλαια</w:t>
      </w:r>
      <w:r w:rsidR="00EF512B" w:rsidRPr="000B1CCA">
        <w:rPr>
          <w:szCs w:val="20"/>
        </w:rPr>
        <w:t xml:space="preserve"> να μην παρουσιάσει ιδιαίτερη μεταβολή, από 1,62 το 2017 σε 1,63 το 2018.</w:t>
      </w:r>
    </w:p>
    <w:p w14:paraId="01DFD752" w14:textId="77777777" w:rsidR="000578B2" w:rsidRDefault="008C343E" w:rsidP="000B1CCA">
      <w:pPr>
        <w:suppressAutoHyphens/>
        <w:spacing w:line="360" w:lineRule="auto"/>
        <w:rPr>
          <w:szCs w:val="20"/>
        </w:rPr>
      </w:pPr>
      <w:r w:rsidRPr="000B1CCA">
        <w:rPr>
          <w:szCs w:val="20"/>
        </w:rPr>
        <w:t>Αύξηση</w:t>
      </w:r>
      <w:r w:rsidR="00034D68" w:rsidRPr="000B1CCA">
        <w:rPr>
          <w:szCs w:val="20"/>
        </w:rPr>
        <w:t xml:space="preserve"> κατά </w:t>
      </w:r>
      <w:r w:rsidR="00EF512B" w:rsidRPr="000B1CCA">
        <w:rPr>
          <w:szCs w:val="20"/>
        </w:rPr>
        <w:t>3,</w:t>
      </w:r>
      <w:r w:rsidR="000B1CCA" w:rsidRPr="000B1CCA">
        <w:rPr>
          <w:szCs w:val="20"/>
        </w:rPr>
        <w:t>37</w:t>
      </w:r>
      <w:r w:rsidR="00EF512B" w:rsidRPr="000B1CCA">
        <w:rPr>
          <w:szCs w:val="20"/>
        </w:rPr>
        <w:t xml:space="preserve">% </w:t>
      </w:r>
      <w:r w:rsidRPr="000B1CCA">
        <w:rPr>
          <w:szCs w:val="20"/>
        </w:rPr>
        <w:t>παρουσίασαν</w:t>
      </w:r>
      <w:r w:rsidR="00034D68" w:rsidRPr="000B1CCA">
        <w:rPr>
          <w:szCs w:val="20"/>
        </w:rPr>
        <w:t xml:space="preserve"> </w:t>
      </w:r>
      <w:r w:rsidRPr="000B1CCA">
        <w:rPr>
          <w:szCs w:val="20"/>
        </w:rPr>
        <w:t xml:space="preserve">οι συνολικές </w:t>
      </w:r>
      <w:r w:rsidRPr="000B1CCA">
        <w:rPr>
          <w:b/>
          <w:szCs w:val="20"/>
        </w:rPr>
        <w:t>μακροπρόθεσμες υποχρεώσεις</w:t>
      </w:r>
      <w:r w:rsidR="00034D68" w:rsidRPr="000B1CCA">
        <w:rPr>
          <w:b/>
          <w:szCs w:val="20"/>
        </w:rPr>
        <w:t xml:space="preserve"> </w:t>
      </w:r>
      <w:r w:rsidR="00034D68" w:rsidRPr="000B1CCA">
        <w:rPr>
          <w:bCs/>
          <w:szCs w:val="20"/>
        </w:rPr>
        <w:t>το 2018/2017 ενώ οι</w:t>
      </w:r>
      <w:r w:rsidR="00034D68" w:rsidRPr="000B1CCA">
        <w:rPr>
          <w:b/>
          <w:szCs w:val="20"/>
        </w:rPr>
        <w:t xml:space="preserve"> βραχυπρόθεσμες</w:t>
      </w:r>
      <w:r w:rsidR="000B1CCA" w:rsidRPr="000B1CCA">
        <w:rPr>
          <w:b/>
          <w:szCs w:val="20"/>
        </w:rPr>
        <w:t xml:space="preserve"> </w:t>
      </w:r>
      <w:r w:rsidR="000B1CCA" w:rsidRPr="000B1CCA">
        <w:rPr>
          <w:bCs/>
          <w:szCs w:val="20"/>
        </w:rPr>
        <w:t>διευρύνθηκαν</w:t>
      </w:r>
      <w:r w:rsidR="00034D68" w:rsidRPr="000B1CCA">
        <w:rPr>
          <w:bCs/>
          <w:szCs w:val="20"/>
        </w:rPr>
        <w:t xml:space="preserve"> με μικρότερο ρυθμό (0,</w:t>
      </w:r>
      <w:r w:rsidR="000B1CCA" w:rsidRPr="000B1CCA">
        <w:rPr>
          <w:bCs/>
          <w:szCs w:val="20"/>
        </w:rPr>
        <w:t>86</w:t>
      </w:r>
      <w:r w:rsidR="00034D68" w:rsidRPr="000B1CCA">
        <w:rPr>
          <w:bCs/>
          <w:szCs w:val="20"/>
        </w:rPr>
        <w:t>%)</w:t>
      </w:r>
      <w:r w:rsidR="000B1CCA" w:rsidRPr="000B1CCA">
        <w:rPr>
          <w:bCs/>
          <w:szCs w:val="20"/>
        </w:rPr>
        <w:t xml:space="preserve">. </w:t>
      </w:r>
      <w:r w:rsidR="005C7614" w:rsidRPr="000B1CCA">
        <w:rPr>
          <w:szCs w:val="20"/>
        </w:rPr>
        <w:t>Οι δείκτες ρευστότητας δεν παρουσίασαν</w:t>
      </w:r>
      <w:r w:rsidRPr="000B1CCA">
        <w:rPr>
          <w:szCs w:val="20"/>
        </w:rPr>
        <w:t xml:space="preserve"> ιδιαίτερη</w:t>
      </w:r>
      <w:r w:rsidR="005C7614" w:rsidRPr="000B1CCA">
        <w:rPr>
          <w:szCs w:val="20"/>
        </w:rPr>
        <w:t xml:space="preserve"> μεταβολή τη διετία </w:t>
      </w:r>
      <w:r w:rsidRPr="000B1CCA">
        <w:rPr>
          <w:szCs w:val="20"/>
        </w:rPr>
        <w:t>201</w:t>
      </w:r>
      <w:r w:rsidR="00034D68" w:rsidRPr="000B1CCA">
        <w:rPr>
          <w:szCs w:val="20"/>
        </w:rPr>
        <w:t>8</w:t>
      </w:r>
      <w:r w:rsidRPr="000B1CCA">
        <w:rPr>
          <w:szCs w:val="20"/>
        </w:rPr>
        <w:t>-201</w:t>
      </w:r>
      <w:r w:rsidR="00034D68" w:rsidRPr="000B1CCA">
        <w:rPr>
          <w:szCs w:val="20"/>
        </w:rPr>
        <w:t>7</w:t>
      </w:r>
      <w:r w:rsidRPr="000B1CCA">
        <w:rPr>
          <w:szCs w:val="20"/>
        </w:rPr>
        <w:t>.</w:t>
      </w:r>
      <w:r w:rsidR="005C7614" w:rsidRPr="000B1CCA">
        <w:rPr>
          <w:szCs w:val="20"/>
        </w:rPr>
        <w:t xml:space="preserve"> </w:t>
      </w:r>
    </w:p>
    <w:p w14:paraId="03540DC7" w14:textId="77777777" w:rsidR="000B1CCA" w:rsidRPr="000B1CCA" w:rsidRDefault="000B1CCA" w:rsidP="000B1CCA">
      <w:pPr>
        <w:suppressAutoHyphens/>
        <w:spacing w:line="360" w:lineRule="auto"/>
        <w:rPr>
          <w:bCs/>
          <w:szCs w:val="20"/>
        </w:rPr>
      </w:pPr>
    </w:p>
    <w:p w14:paraId="4AA14C7C" w14:textId="77777777" w:rsidR="009B6B11" w:rsidRPr="000B1CCA" w:rsidRDefault="009245B3" w:rsidP="00B96C69">
      <w:pPr>
        <w:pStyle w:val="-"/>
        <w:spacing w:line="360" w:lineRule="auto"/>
        <w:ind w:right="140" w:firstLine="720"/>
        <w:jc w:val="both"/>
        <w:outlineLvl w:val="0"/>
        <w:rPr>
          <w:b w:val="0"/>
          <w:bCs/>
          <w:szCs w:val="20"/>
        </w:rPr>
      </w:pPr>
      <w:r w:rsidRPr="000B1CCA">
        <w:rPr>
          <w:b w:val="0"/>
          <w:bCs/>
          <w:szCs w:val="20"/>
        </w:rPr>
        <w:t>Σε τομεακό επίπεδο υπήρξαν διαφορές όσον αφορά στα αποτελέσματα των επιχειρήσεων.</w:t>
      </w:r>
      <w:r w:rsidR="00F03C0C" w:rsidRPr="000B1CCA">
        <w:rPr>
          <w:b w:val="0"/>
          <w:bCs/>
          <w:szCs w:val="20"/>
        </w:rPr>
        <w:t xml:space="preserve"> Συγκεκριμένα, </w:t>
      </w:r>
      <w:r w:rsidR="00F03C0C" w:rsidRPr="000B1CCA">
        <w:rPr>
          <w:bCs/>
          <w:szCs w:val="20"/>
        </w:rPr>
        <w:t>ανά τομέα δραστηριότητας</w:t>
      </w:r>
      <w:r w:rsidR="00F03C0C" w:rsidRPr="000B1CCA">
        <w:rPr>
          <w:b w:val="0"/>
          <w:bCs/>
          <w:szCs w:val="20"/>
        </w:rPr>
        <w:t xml:space="preserve"> παρατηρούνται τα εξής:</w:t>
      </w:r>
      <w:r w:rsidR="00042502" w:rsidRPr="000B1CCA">
        <w:rPr>
          <w:b w:val="0"/>
          <w:bCs/>
          <w:szCs w:val="20"/>
        </w:rPr>
        <w:t xml:space="preserve"> </w:t>
      </w:r>
    </w:p>
    <w:p w14:paraId="28FFFC92" w14:textId="77777777" w:rsidR="00C54C0B" w:rsidRPr="00D25879" w:rsidRDefault="00C54C0B" w:rsidP="001A054A">
      <w:pPr>
        <w:pStyle w:val="-"/>
        <w:spacing w:line="360" w:lineRule="auto"/>
        <w:ind w:right="140"/>
        <w:jc w:val="both"/>
        <w:outlineLvl w:val="0"/>
        <w:rPr>
          <w:b w:val="0"/>
          <w:bCs/>
          <w:szCs w:val="20"/>
          <w:highlight w:val="yellow"/>
        </w:rPr>
      </w:pPr>
    </w:p>
    <w:p w14:paraId="4FD5BE65" w14:textId="08CD0865" w:rsidR="00C84832" w:rsidRPr="000B1CCA" w:rsidRDefault="00034D68" w:rsidP="00B96C69">
      <w:pPr>
        <w:pStyle w:val="-"/>
        <w:spacing w:line="360" w:lineRule="auto"/>
        <w:ind w:right="140"/>
        <w:jc w:val="both"/>
        <w:outlineLvl w:val="0"/>
        <w:rPr>
          <w:b w:val="0"/>
          <w:bCs/>
          <w:szCs w:val="20"/>
        </w:rPr>
      </w:pPr>
      <w:r w:rsidRPr="000B1CCA">
        <w:rPr>
          <w:b w:val="0"/>
          <w:bCs/>
          <w:szCs w:val="20"/>
        </w:rPr>
        <w:t>Μείωση κατά 3,5%</w:t>
      </w:r>
      <w:r w:rsidR="00BF486D">
        <w:rPr>
          <w:b w:val="0"/>
          <w:bCs/>
          <w:szCs w:val="20"/>
        </w:rPr>
        <w:t xml:space="preserve"> παρουσίασε</w:t>
      </w:r>
      <w:r w:rsidRPr="000B1CCA">
        <w:rPr>
          <w:b w:val="0"/>
          <w:bCs/>
          <w:szCs w:val="20"/>
        </w:rPr>
        <w:t xml:space="preserve"> ο κύκλος εργασιών </w:t>
      </w:r>
      <w:r w:rsidR="00A539A8" w:rsidRPr="000B1CCA">
        <w:rPr>
          <w:b w:val="0"/>
          <w:bCs/>
          <w:szCs w:val="20"/>
        </w:rPr>
        <w:t xml:space="preserve">του κλάδου </w:t>
      </w:r>
      <w:r w:rsidRPr="000B1CCA">
        <w:rPr>
          <w:b w:val="0"/>
          <w:bCs/>
          <w:szCs w:val="20"/>
        </w:rPr>
        <w:t xml:space="preserve">της </w:t>
      </w:r>
      <w:r w:rsidR="00A539A8" w:rsidRPr="000B1CCA">
        <w:rPr>
          <w:bCs/>
          <w:szCs w:val="20"/>
        </w:rPr>
        <w:t>γεωργία</w:t>
      </w:r>
      <w:r w:rsidRPr="000B1CCA">
        <w:rPr>
          <w:bCs/>
          <w:szCs w:val="20"/>
        </w:rPr>
        <w:t>ς</w:t>
      </w:r>
      <w:r w:rsidR="00A539A8" w:rsidRPr="000B1CCA">
        <w:rPr>
          <w:bCs/>
          <w:szCs w:val="20"/>
        </w:rPr>
        <w:t>-αλιεία</w:t>
      </w:r>
      <w:r w:rsidRPr="000B1CCA">
        <w:rPr>
          <w:bCs/>
          <w:szCs w:val="20"/>
        </w:rPr>
        <w:t xml:space="preserve">ς, </w:t>
      </w:r>
      <w:r w:rsidRPr="000B1CCA">
        <w:rPr>
          <w:b w:val="0"/>
          <w:szCs w:val="20"/>
        </w:rPr>
        <w:t>ο οποίος διαμορφώθηκε σε €1,5 δι</w:t>
      </w:r>
      <w:r w:rsidR="000B1CCA" w:rsidRPr="000B1CCA">
        <w:rPr>
          <w:b w:val="0"/>
          <w:szCs w:val="20"/>
        </w:rPr>
        <w:t>σ</w:t>
      </w:r>
      <w:r w:rsidRPr="000B1CCA">
        <w:rPr>
          <w:b w:val="0"/>
          <w:szCs w:val="20"/>
        </w:rPr>
        <w:t>. το 2018,</w:t>
      </w:r>
      <w:r w:rsidRPr="000B1CCA">
        <w:rPr>
          <w:bCs/>
          <w:szCs w:val="20"/>
        </w:rPr>
        <w:t xml:space="preserve"> </w:t>
      </w:r>
      <w:r w:rsidRPr="000B1CCA">
        <w:rPr>
          <w:b w:val="0"/>
          <w:bCs/>
          <w:szCs w:val="20"/>
        </w:rPr>
        <w:t xml:space="preserve">ενώ λόγω αύξησης του κόστους </w:t>
      </w:r>
      <w:r w:rsidR="00546B43" w:rsidRPr="000B1CCA">
        <w:rPr>
          <w:b w:val="0"/>
          <w:bCs/>
          <w:szCs w:val="20"/>
        </w:rPr>
        <w:t xml:space="preserve">τα </w:t>
      </w:r>
      <w:r w:rsidR="0093037E" w:rsidRPr="000B1CCA">
        <w:rPr>
          <w:b w:val="0"/>
          <w:bCs/>
          <w:szCs w:val="20"/>
        </w:rPr>
        <w:t>μ</w:t>
      </w:r>
      <w:r w:rsidR="00826434" w:rsidRPr="000B1CCA">
        <w:rPr>
          <w:b w:val="0"/>
          <w:bCs/>
          <w:szCs w:val="20"/>
        </w:rPr>
        <w:t>ε</w:t>
      </w:r>
      <w:r w:rsidR="0093037E" w:rsidRPr="000B1CCA">
        <w:rPr>
          <w:b w:val="0"/>
          <w:bCs/>
          <w:szCs w:val="20"/>
        </w:rPr>
        <w:t>ικτά κέρδη</w:t>
      </w:r>
      <w:r w:rsidRPr="000B1CCA">
        <w:rPr>
          <w:b w:val="0"/>
          <w:bCs/>
          <w:szCs w:val="20"/>
        </w:rPr>
        <w:t xml:space="preserve"> συρρικνώθηκαν</w:t>
      </w:r>
      <w:r w:rsidR="001A054A" w:rsidRPr="000B1CCA">
        <w:rPr>
          <w:b w:val="0"/>
          <w:bCs/>
          <w:szCs w:val="20"/>
        </w:rPr>
        <w:t xml:space="preserve"> με</w:t>
      </w:r>
      <w:r w:rsidRPr="000B1CCA">
        <w:rPr>
          <w:b w:val="0"/>
          <w:bCs/>
          <w:szCs w:val="20"/>
        </w:rPr>
        <w:t xml:space="preserve"> </w:t>
      </w:r>
      <w:r w:rsidR="00D823FE">
        <w:rPr>
          <w:b w:val="0"/>
          <w:bCs/>
          <w:szCs w:val="20"/>
        </w:rPr>
        <w:t xml:space="preserve">αρκετά πιο υψηλό </w:t>
      </w:r>
      <w:r w:rsidRPr="000B1CCA">
        <w:rPr>
          <w:b w:val="0"/>
          <w:bCs/>
          <w:szCs w:val="20"/>
        </w:rPr>
        <w:t>ρυθμό</w:t>
      </w:r>
      <w:r w:rsidR="00546B43" w:rsidRPr="000B1CCA">
        <w:rPr>
          <w:b w:val="0"/>
          <w:bCs/>
          <w:szCs w:val="20"/>
        </w:rPr>
        <w:t xml:space="preserve"> (</w:t>
      </w:r>
      <w:r w:rsidRPr="000B1CCA">
        <w:rPr>
          <w:b w:val="0"/>
          <w:bCs/>
          <w:szCs w:val="20"/>
        </w:rPr>
        <w:t>-12,7%</w:t>
      </w:r>
      <w:r w:rsidR="00546B43" w:rsidRPr="000B1CCA">
        <w:rPr>
          <w:b w:val="0"/>
          <w:bCs/>
          <w:szCs w:val="20"/>
        </w:rPr>
        <w:t xml:space="preserve">). </w:t>
      </w:r>
      <w:r w:rsidRPr="000B1CCA">
        <w:rPr>
          <w:b w:val="0"/>
          <w:bCs/>
          <w:szCs w:val="20"/>
        </w:rPr>
        <w:t xml:space="preserve">Η εξέλιξη αυτή σε συνδυασμό και με την αύξηση των </w:t>
      </w:r>
      <w:r w:rsidR="00C84832" w:rsidRPr="000B1CCA">
        <w:rPr>
          <w:b w:val="0"/>
          <w:bCs/>
          <w:szCs w:val="20"/>
        </w:rPr>
        <w:t>δαπανών</w:t>
      </w:r>
      <w:r w:rsidRPr="000B1CCA">
        <w:rPr>
          <w:b w:val="0"/>
          <w:bCs/>
          <w:szCs w:val="20"/>
        </w:rPr>
        <w:t xml:space="preserve"> διοίκησης και διάθεσης, οδήγησαν στην </w:t>
      </w:r>
      <w:r w:rsidR="00C84832" w:rsidRPr="000B1CCA">
        <w:rPr>
          <w:b w:val="0"/>
          <w:bCs/>
          <w:szCs w:val="20"/>
        </w:rPr>
        <w:t>εμφάνιση</w:t>
      </w:r>
      <w:r w:rsidRPr="000B1CCA">
        <w:rPr>
          <w:b w:val="0"/>
          <w:bCs/>
          <w:szCs w:val="20"/>
        </w:rPr>
        <w:t xml:space="preserve"> </w:t>
      </w:r>
      <w:r w:rsidR="00C84832" w:rsidRPr="000B1CCA">
        <w:rPr>
          <w:b w:val="0"/>
          <w:bCs/>
          <w:szCs w:val="20"/>
        </w:rPr>
        <w:t>αρνητικού</w:t>
      </w:r>
      <w:r w:rsidRPr="000B1CCA">
        <w:rPr>
          <w:b w:val="0"/>
          <w:bCs/>
          <w:szCs w:val="20"/>
        </w:rPr>
        <w:t xml:space="preserve"> λειτουργικού </w:t>
      </w:r>
      <w:r w:rsidR="00C84832" w:rsidRPr="000B1CCA">
        <w:rPr>
          <w:b w:val="0"/>
          <w:bCs/>
          <w:szCs w:val="20"/>
        </w:rPr>
        <w:t>αποτελέσματος το 2018 και κατ’ επέκταση στην καταγραφή ζημιών</w:t>
      </w:r>
      <w:r w:rsidR="000B1CCA" w:rsidRPr="000B1CCA">
        <w:rPr>
          <w:b w:val="0"/>
          <w:bCs/>
          <w:szCs w:val="20"/>
        </w:rPr>
        <w:t xml:space="preserve">, </w:t>
      </w:r>
      <w:r w:rsidR="00C84832" w:rsidRPr="000B1CCA">
        <w:rPr>
          <w:b w:val="0"/>
          <w:bCs/>
          <w:szCs w:val="20"/>
        </w:rPr>
        <w:t xml:space="preserve">ενώ το προηγούμενο έτος το τελικό καθαρό αποτέλεσμα ήταν κερδοφόρο. </w:t>
      </w:r>
      <w:r w:rsidR="00A539A8" w:rsidRPr="000B1CCA">
        <w:rPr>
          <w:b w:val="0"/>
          <w:bCs/>
          <w:szCs w:val="20"/>
        </w:rPr>
        <w:t xml:space="preserve">Τα συνολικά κεφάλαια </w:t>
      </w:r>
      <w:r w:rsidR="00D26269">
        <w:rPr>
          <w:b w:val="0"/>
          <w:bCs/>
          <w:szCs w:val="20"/>
        </w:rPr>
        <w:t xml:space="preserve">των </w:t>
      </w:r>
      <w:r w:rsidR="00C84832" w:rsidRPr="000B1CCA">
        <w:rPr>
          <w:b w:val="0"/>
          <w:bCs/>
          <w:szCs w:val="20"/>
        </w:rPr>
        <w:t xml:space="preserve">153 εταιρειών </w:t>
      </w:r>
      <w:r w:rsidR="00A539A8" w:rsidRPr="000B1CCA">
        <w:rPr>
          <w:b w:val="0"/>
          <w:bCs/>
          <w:szCs w:val="20"/>
        </w:rPr>
        <w:t xml:space="preserve">του κλάδου </w:t>
      </w:r>
      <w:r w:rsidR="00F251DD" w:rsidRPr="000B1CCA">
        <w:rPr>
          <w:b w:val="0"/>
          <w:bCs/>
          <w:szCs w:val="20"/>
        </w:rPr>
        <w:t>ήτ</w:t>
      </w:r>
      <w:r w:rsidR="00546B43" w:rsidRPr="000B1CCA">
        <w:rPr>
          <w:b w:val="0"/>
          <w:bCs/>
          <w:szCs w:val="20"/>
        </w:rPr>
        <w:t>αν αυξημένα κατά</w:t>
      </w:r>
      <w:r w:rsidR="00C84832" w:rsidRPr="000B1CCA">
        <w:rPr>
          <w:b w:val="0"/>
          <w:bCs/>
          <w:szCs w:val="20"/>
        </w:rPr>
        <w:t xml:space="preserve"> 6,7%</w:t>
      </w:r>
      <w:r w:rsidR="00CB7BFF" w:rsidRPr="00CB7BFF">
        <w:rPr>
          <w:b w:val="0"/>
          <w:bCs/>
          <w:szCs w:val="20"/>
        </w:rPr>
        <w:t xml:space="preserve">, </w:t>
      </w:r>
      <w:r w:rsidR="00546B43" w:rsidRPr="000B1CCA">
        <w:rPr>
          <w:b w:val="0"/>
          <w:bCs/>
          <w:szCs w:val="20"/>
        </w:rPr>
        <w:t>ανερχόμενα σε €</w:t>
      </w:r>
      <w:r w:rsidR="00C84832" w:rsidRPr="000B1CCA">
        <w:rPr>
          <w:b w:val="0"/>
          <w:bCs/>
          <w:szCs w:val="20"/>
        </w:rPr>
        <w:t>1,9</w:t>
      </w:r>
      <w:r w:rsidR="00546B43" w:rsidRPr="000B1CCA">
        <w:rPr>
          <w:b w:val="0"/>
          <w:bCs/>
          <w:szCs w:val="20"/>
        </w:rPr>
        <w:t xml:space="preserve"> δισ.,</w:t>
      </w:r>
      <w:r w:rsidR="00A539A8" w:rsidRPr="000B1CCA">
        <w:rPr>
          <w:b w:val="0"/>
          <w:bCs/>
          <w:szCs w:val="20"/>
        </w:rPr>
        <w:t xml:space="preserve"> </w:t>
      </w:r>
      <w:r w:rsidR="00F06D62" w:rsidRPr="000B1CCA">
        <w:rPr>
          <w:b w:val="0"/>
          <w:bCs/>
          <w:szCs w:val="20"/>
        </w:rPr>
        <w:t xml:space="preserve">ενώ </w:t>
      </w:r>
      <w:r w:rsidR="003B4941" w:rsidRPr="000B1CCA">
        <w:rPr>
          <w:b w:val="0"/>
          <w:bCs/>
          <w:szCs w:val="20"/>
        </w:rPr>
        <w:t>τα ίδια κεφάλαια</w:t>
      </w:r>
      <w:r w:rsidR="00C84832" w:rsidRPr="000B1CCA">
        <w:rPr>
          <w:b w:val="0"/>
          <w:bCs/>
          <w:szCs w:val="20"/>
        </w:rPr>
        <w:t xml:space="preserve"> μειώθηκαν σημαντικά κατά 9,1% την ίδια περίοδο. </w:t>
      </w:r>
    </w:p>
    <w:p w14:paraId="58957B0B" w14:textId="77777777" w:rsidR="000578B2" w:rsidRPr="00293EA1" w:rsidRDefault="000578B2" w:rsidP="008B1720">
      <w:pPr>
        <w:suppressAutoHyphens/>
        <w:spacing w:line="360" w:lineRule="auto"/>
        <w:rPr>
          <w:bCs/>
          <w:szCs w:val="20"/>
        </w:rPr>
      </w:pPr>
    </w:p>
    <w:p w14:paraId="799E4576" w14:textId="77777777" w:rsidR="00E151E3" w:rsidRPr="00E151E3" w:rsidRDefault="00F251DD" w:rsidP="00B96C69">
      <w:pPr>
        <w:suppressAutoHyphens/>
        <w:spacing w:line="360" w:lineRule="auto"/>
        <w:ind w:firstLine="720"/>
        <w:rPr>
          <w:bCs/>
          <w:szCs w:val="20"/>
        </w:rPr>
      </w:pPr>
      <w:r w:rsidRPr="00E151E3">
        <w:rPr>
          <w:bCs/>
          <w:szCs w:val="20"/>
        </w:rPr>
        <w:t>Στον</w:t>
      </w:r>
      <w:r w:rsidR="00536D4F" w:rsidRPr="00E151E3">
        <w:rPr>
          <w:bCs/>
          <w:szCs w:val="20"/>
        </w:rPr>
        <w:t xml:space="preserve"> κλάδο </w:t>
      </w:r>
      <w:r w:rsidR="00524C7A" w:rsidRPr="00E151E3">
        <w:rPr>
          <w:bCs/>
          <w:szCs w:val="20"/>
        </w:rPr>
        <w:t xml:space="preserve">των </w:t>
      </w:r>
      <w:r w:rsidR="00536D4F" w:rsidRPr="00E151E3">
        <w:rPr>
          <w:b/>
          <w:bCs/>
          <w:szCs w:val="20"/>
        </w:rPr>
        <w:t>ορυχείων-λατομείων</w:t>
      </w:r>
      <w:r w:rsidR="00536D4F" w:rsidRPr="00E151E3">
        <w:rPr>
          <w:bCs/>
          <w:szCs w:val="20"/>
        </w:rPr>
        <w:t xml:space="preserve"> </w:t>
      </w:r>
      <w:r w:rsidRPr="00E151E3">
        <w:rPr>
          <w:bCs/>
          <w:szCs w:val="20"/>
        </w:rPr>
        <w:t>ο κύκλος εργασιών</w:t>
      </w:r>
      <w:r w:rsidR="00CD762C" w:rsidRPr="00E151E3">
        <w:rPr>
          <w:bCs/>
          <w:szCs w:val="20"/>
        </w:rPr>
        <w:t xml:space="preserve"> </w:t>
      </w:r>
      <w:r w:rsidR="00FF3A42" w:rsidRPr="00E151E3">
        <w:rPr>
          <w:bCs/>
          <w:szCs w:val="20"/>
        </w:rPr>
        <w:t>αυξήθηκε κατά</w:t>
      </w:r>
      <w:r w:rsidR="00C84832" w:rsidRPr="00E151E3">
        <w:rPr>
          <w:bCs/>
          <w:szCs w:val="20"/>
        </w:rPr>
        <w:t xml:space="preserve"> 25,8%</w:t>
      </w:r>
      <w:r w:rsidR="00FF3A42" w:rsidRPr="00E151E3">
        <w:rPr>
          <w:bCs/>
          <w:szCs w:val="20"/>
        </w:rPr>
        <w:t xml:space="preserve"> </w:t>
      </w:r>
      <w:r w:rsidR="00CD762C" w:rsidRPr="00E151E3">
        <w:rPr>
          <w:bCs/>
          <w:szCs w:val="20"/>
        </w:rPr>
        <w:t>και διαμορφώθηκε</w:t>
      </w:r>
      <w:r w:rsidR="002B05AD" w:rsidRPr="00E151E3">
        <w:rPr>
          <w:bCs/>
          <w:szCs w:val="20"/>
        </w:rPr>
        <w:t xml:space="preserve"> </w:t>
      </w:r>
      <w:r w:rsidR="00CD762C" w:rsidRPr="00E151E3">
        <w:rPr>
          <w:bCs/>
          <w:szCs w:val="20"/>
        </w:rPr>
        <w:t>σε</w:t>
      </w:r>
      <w:r w:rsidR="00A539A8" w:rsidRPr="00E151E3">
        <w:rPr>
          <w:bCs/>
          <w:szCs w:val="20"/>
        </w:rPr>
        <w:t xml:space="preserve"> €</w:t>
      </w:r>
      <w:r w:rsidR="00C84832" w:rsidRPr="00E151E3">
        <w:rPr>
          <w:bCs/>
          <w:szCs w:val="20"/>
        </w:rPr>
        <w:t>381,8</w:t>
      </w:r>
      <w:r w:rsidR="001A054A" w:rsidRPr="00E151E3">
        <w:rPr>
          <w:bCs/>
          <w:szCs w:val="20"/>
        </w:rPr>
        <w:t xml:space="preserve"> εκ.</w:t>
      </w:r>
      <w:r w:rsidR="00C714AE" w:rsidRPr="00E151E3">
        <w:rPr>
          <w:bCs/>
          <w:szCs w:val="20"/>
        </w:rPr>
        <w:t xml:space="preserve"> </w:t>
      </w:r>
      <w:r w:rsidR="00D86DEE" w:rsidRPr="00E151E3">
        <w:rPr>
          <w:bCs/>
          <w:szCs w:val="20"/>
        </w:rPr>
        <w:t xml:space="preserve">Ωστόσο, η </w:t>
      </w:r>
      <w:r w:rsidR="003B4538">
        <w:rPr>
          <w:bCs/>
          <w:szCs w:val="20"/>
        </w:rPr>
        <w:t>συγκράτηση</w:t>
      </w:r>
      <w:r w:rsidR="00524C7A" w:rsidRPr="00E151E3">
        <w:rPr>
          <w:bCs/>
          <w:szCs w:val="20"/>
        </w:rPr>
        <w:t xml:space="preserve"> </w:t>
      </w:r>
      <w:r w:rsidR="00D86DEE" w:rsidRPr="00E151E3">
        <w:rPr>
          <w:bCs/>
          <w:szCs w:val="20"/>
        </w:rPr>
        <w:t>του κόστους πωλήσεων οδήγησε στη</w:t>
      </w:r>
      <w:r w:rsidR="000F4E12" w:rsidRPr="00E151E3">
        <w:rPr>
          <w:bCs/>
          <w:szCs w:val="20"/>
        </w:rPr>
        <w:t xml:space="preserve"> διεύρυνση </w:t>
      </w:r>
      <w:r w:rsidR="005F4D6D" w:rsidRPr="00E151E3">
        <w:rPr>
          <w:bCs/>
          <w:szCs w:val="20"/>
        </w:rPr>
        <w:t>των μει</w:t>
      </w:r>
      <w:r w:rsidR="00D86DEE" w:rsidRPr="00E151E3">
        <w:rPr>
          <w:bCs/>
          <w:szCs w:val="20"/>
        </w:rPr>
        <w:t>κτών κερδών</w:t>
      </w:r>
      <w:r w:rsidR="000F4E12" w:rsidRPr="00E151E3">
        <w:rPr>
          <w:bCs/>
          <w:szCs w:val="20"/>
        </w:rPr>
        <w:t xml:space="preserve"> με </w:t>
      </w:r>
      <w:r w:rsidR="00D823FE">
        <w:rPr>
          <w:bCs/>
          <w:szCs w:val="20"/>
        </w:rPr>
        <w:t xml:space="preserve">αρκετά πιο υψηλό </w:t>
      </w:r>
      <w:r w:rsidR="000F4E12" w:rsidRPr="00E151E3">
        <w:rPr>
          <w:bCs/>
          <w:szCs w:val="20"/>
        </w:rPr>
        <w:t>ρυθμό (</w:t>
      </w:r>
      <w:r w:rsidR="00C84832" w:rsidRPr="00E151E3">
        <w:rPr>
          <w:bCs/>
          <w:szCs w:val="20"/>
        </w:rPr>
        <w:t>41,7%</w:t>
      </w:r>
      <w:r w:rsidR="000F4E12" w:rsidRPr="00E151E3">
        <w:rPr>
          <w:bCs/>
          <w:szCs w:val="20"/>
        </w:rPr>
        <w:t xml:space="preserve">). </w:t>
      </w:r>
      <w:r w:rsidR="00C84832" w:rsidRPr="00E151E3">
        <w:rPr>
          <w:bCs/>
          <w:szCs w:val="20"/>
        </w:rPr>
        <w:t>Παρ</w:t>
      </w:r>
      <w:r w:rsidR="00396FE1" w:rsidRPr="00CB7BFF">
        <w:rPr>
          <w:bCs/>
          <w:szCs w:val="20"/>
        </w:rPr>
        <w:t>’</w:t>
      </w:r>
      <w:r w:rsidR="00C84832" w:rsidRPr="00E151E3">
        <w:rPr>
          <w:bCs/>
          <w:szCs w:val="20"/>
        </w:rPr>
        <w:t xml:space="preserve"> όλα αυτά</w:t>
      </w:r>
      <w:r w:rsidR="00630651" w:rsidRPr="00E151E3">
        <w:rPr>
          <w:bCs/>
          <w:szCs w:val="20"/>
        </w:rPr>
        <w:t>,</w:t>
      </w:r>
      <w:r w:rsidR="00C84832" w:rsidRPr="00E151E3">
        <w:rPr>
          <w:bCs/>
          <w:szCs w:val="20"/>
        </w:rPr>
        <w:t xml:space="preserve"> η σημαντική αύξηση των λοιπών λειτουργικών εξόδων </w:t>
      </w:r>
      <w:r w:rsidR="00E151E3" w:rsidRPr="00E151E3">
        <w:rPr>
          <w:bCs/>
          <w:szCs w:val="20"/>
        </w:rPr>
        <w:t xml:space="preserve">καθώς </w:t>
      </w:r>
      <w:r w:rsidR="00C84832" w:rsidRPr="00E151E3">
        <w:rPr>
          <w:bCs/>
          <w:szCs w:val="20"/>
        </w:rPr>
        <w:t>και των χρηματοοικονομικών δαπανών οδήγησαν</w:t>
      </w:r>
      <w:r w:rsidR="00630651" w:rsidRPr="00E151E3">
        <w:rPr>
          <w:bCs/>
          <w:szCs w:val="20"/>
        </w:rPr>
        <w:t xml:space="preserve"> στην εμφάνιση αρνητικού λειτουργικού αποτελέσματος το 2018, από θετικό το 2017.</w:t>
      </w:r>
      <w:r w:rsidR="00E151E3" w:rsidRPr="00E151E3">
        <w:rPr>
          <w:bCs/>
          <w:szCs w:val="20"/>
        </w:rPr>
        <w:t xml:space="preserve"> </w:t>
      </w:r>
      <w:r w:rsidR="00630651" w:rsidRPr="00E151E3">
        <w:rPr>
          <w:bCs/>
          <w:szCs w:val="20"/>
        </w:rPr>
        <w:t>Επιπλέον</w:t>
      </w:r>
      <w:r w:rsidR="00E151E3" w:rsidRPr="00E151E3">
        <w:rPr>
          <w:bCs/>
          <w:szCs w:val="20"/>
        </w:rPr>
        <w:t>,</w:t>
      </w:r>
      <w:r w:rsidR="00630651" w:rsidRPr="00E151E3">
        <w:rPr>
          <w:bCs/>
          <w:szCs w:val="20"/>
        </w:rPr>
        <w:t xml:space="preserve"> αρνητικό κατέστη και το (συνολικό) μη λειτουργικό αποτέλεσμα του κλάδου με αποτέλεσμα την εμφάνιση ζημιών το 2018</w:t>
      </w:r>
      <w:r w:rsidR="00E151E3" w:rsidRPr="00E151E3">
        <w:rPr>
          <w:bCs/>
          <w:szCs w:val="20"/>
        </w:rPr>
        <w:t>, ενώ το 2017 το τελικό αποτέλεσμα ήταν κερδοφόρο.</w:t>
      </w:r>
    </w:p>
    <w:p w14:paraId="47DBB25C" w14:textId="77777777" w:rsidR="00A539A8" w:rsidRPr="00E151E3" w:rsidRDefault="00A539A8" w:rsidP="008B1720">
      <w:pPr>
        <w:suppressAutoHyphens/>
        <w:spacing w:line="360" w:lineRule="auto"/>
        <w:rPr>
          <w:bCs/>
          <w:szCs w:val="20"/>
        </w:rPr>
      </w:pPr>
      <w:r w:rsidRPr="00E151E3">
        <w:rPr>
          <w:bCs/>
          <w:szCs w:val="20"/>
        </w:rPr>
        <w:t>Τα συνολικά κεφάλαια του κλάδου ανήλθαν σε €</w:t>
      </w:r>
      <w:r w:rsidR="00536D4F" w:rsidRPr="00E151E3">
        <w:rPr>
          <w:bCs/>
          <w:szCs w:val="20"/>
        </w:rPr>
        <w:t>1,</w:t>
      </w:r>
      <w:r w:rsidR="00630651" w:rsidRPr="00E151E3">
        <w:rPr>
          <w:bCs/>
          <w:szCs w:val="20"/>
        </w:rPr>
        <w:t>9</w:t>
      </w:r>
      <w:r w:rsidRPr="00E151E3">
        <w:rPr>
          <w:bCs/>
          <w:szCs w:val="20"/>
        </w:rPr>
        <w:t xml:space="preserve"> </w:t>
      </w:r>
      <w:r w:rsidR="009C0C46" w:rsidRPr="00E151E3">
        <w:rPr>
          <w:bCs/>
          <w:szCs w:val="20"/>
        </w:rPr>
        <w:t>δισ</w:t>
      </w:r>
      <w:r w:rsidRPr="00E151E3">
        <w:rPr>
          <w:bCs/>
          <w:szCs w:val="20"/>
        </w:rPr>
        <w:t>.</w:t>
      </w:r>
      <w:r w:rsidR="00536D4F" w:rsidRPr="00E151E3">
        <w:rPr>
          <w:bCs/>
          <w:szCs w:val="20"/>
        </w:rPr>
        <w:t xml:space="preserve"> περίπου</w:t>
      </w:r>
      <w:r w:rsidRPr="00E151E3">
        <w:rPr>
          <w:bCs/>
          <w:szCs w:val="20"/>
        </w:rPr>
        <w:t>, αυξημένα κατά</w:t>
      </w:r>
      <w:r w:rsidR="00630651" w:rsidRPr="00E151E3">
        <w:rPr>
          <w:bCs/>
          <w:szCs w:val="20"/>
        </w:rPr>
        <w:t xml:space="preserve"> 10,2%</w:t>
      </w:r>
      <w:r w:rsidRPr="00E151E3">
        <w:rPr>
          <w:bCs/>
          <w:szCs w:val="20"/>
        </w:rPr>
        <w:t xml:space="preserve"> σε ετήσια βάση.</w:t>
      </w:r>
    </w:p>
    <w:p w14:paraId="52563BE0" w14:textId="77777777" w:rsidR="00CD762C" w:rsidRPr="00D25879" w:rsidRDefault="00CD762C" w:rsidP="008B1720">
      <w:pPr>
        <w:suppressAutoHyphens/>
        <w:spacing w:line="360" w:lineRule="auto"/>
        <w:rPr>
          <w:bCs/>
          <w:szCs w:val="20"/>
          <w:highlight w:val="yellow"/>
        </w:rPr>
      </w:pPr>
    </w:p>
    <w:p w14:paraId="5143F304" w14:textId="77777777" w:rsidR="008D4D73" w:rsidRPr="00897BF4" w:rsidRDefault="0068011C" w:rsidP="00B96C69">
      <w:pPr>
        <w:suppressAutoHyphens/>
        <w:spacing w:line="360" w:lineRule="auto"/>
        <w:ind w:firstLine="720"/>
        <w:rPr>
          <w:szCs w:val="20"/>
        </w:rPr>
      </w:pPr>
      <w:r w:rsidRPr="00897BF4">
        <w:rPr>
          <w:szCs w:val="20"/>
        </w:rPr>
        <w:t xml:space="preserve">Ο κλάδος της </w:t>
      </w:r>
      <w:r w:rsidR="00F512CE" w:rsidRPr="00897BF4">
        <w:rPr>
          <w:b/>
          <w:szCs w:val="20"/>
        </w:rPr>
        <w:t>μεταποίηση</w:t>
      </w:r>
      <w:r w:rsidR="00431B2C" w:rsidRPr="00897BF4">
        <w:rPr>
          <w:b/>
          <w:szCs w:val="20"/>
        </w:rPr>
        <w:t>ς</w:t>
      </w:r>
      <w:r w:rsidRPr="00897BF4">
        <w:rPr>
          <w:b/>
          <w:szCs w:val="20"/>
        </w:rPr>
        <w:t xml:space="preserve">, </w:t>
      </w:r>
      <w:r w:rsidRPr="00897BF4">
        <w:rPr>
          <w:szCs w:val="20"/>
        </w:rPr>
        <w:t>με δείγμα</w:t>
      </w:r>
      <w:r w:rsidR="00737191" w:rsidRPr="00897BF4">
        <w:rPr>
          <w:szCs w:val="20"/>
        </w:rPr>
        <w:t xml:space="preserve"> </w:t>
      </w:r>
      <w:r w:rsidR="00BB73CB" w:rsidRPr="00897BF4">
        <w:rPr>
          <w:szCs w:val="20"/>
        </w:rPr>
        <w:t>2.414</w:t>
      </w:r>
      <w:r w:rsidR="00737191" w:rsidRPr="00897BF4">
        <w:rPr>
          <w:szCs w:val="20"/>
        </w:rPr>
        <w:t xml:space="preserve"> </w:t>
      </w:r>
      <w:r w:rsidRPr="00897BF4">
        <w:rPr>
          <w:szCs w:val="20"/>
        </w:rPr>
        <w:t>μονάδων,</w:t>
      </w:r>
      <w:r w:rsidR="00BB0C8D" w:rsidRPr="00897BF4">
        <w:rPr>
          <w:b/>
          <w:szCs w:val="20"/>
        </w:rPr>
        <w:t xml:space="preserve"> </w:t>
      </w:r>
      <w:r w:rsidRPr="00897BF4">
        <w:rPr>
          <w:szCs w:val="20"/>
        </w:rPr>
        <w:t>εμφάνισε</w:t>
      </w:r>
      <w:r w:rsidR="0003295A" w:rsidRPr="00897BF4">
        <w:rPr>
          <w:szCs w:val="20"/>
        </w:rPr>
        <w:t xml:space="preserve"> αξιόλογη αύξηση</w:t>
      </w:r>
      <w:r w:rsidRPr="00897BF4">
        <w:rPr>
          <w:szCs w:val="20"/>
        </w:rPr>
        <w:t xml:space="preserve"> σε επίπεδο κύκλου εργασιών, </w:t>
      </w:r>
      <w:r w:rsidR="0003295A" w:rsidRPr="00897BF4">
        <w:rPr>
          <w:szCs w:val="20"/>
        </w:rPr>
        <w:t>κατά</w:t>
      </w:r>
      <w:r w:rsidR="00BB73CB" w:rsidRPr="00897BF4">
        <w:rPr>
          <w:szCs w:val="20"/>
        </w:rPr>
        <w:t xml:space="preserve"> 13,</w:t>
      </w:r>
      <w:r w:rsidR="00D823FE">
        <w:rPr>
          <w:szCs w:val="20"/>
        </w:rPr>
        <w:t>2</w:t>
      </w:r>
      <w:r w:rsidR="00BB73CB" w:rsidRPr="00897BF4">
        <w:rPr>
          <w:szCs w:val="20"/>
        </w:rPr>
        <w:t>%</w:t>
      </w:r>
      <w:r w:rsidR="00E82FEB">
        <w:rPr>
          <w:szCs w:val="20"/>
        </w:rPr>
        <w:t>,</w:t>
      </w:r>
      <w:r w:rsidR="00BB73CB" w:rsidRPr="00897BF4">
        <w:rPr>
          <w:szCs w:val="20"/>
        </w:rPr>
        <w:t xml:space="preserve"> </w:t>
      </w:r>
      <w:r w:rsidR="008378B4" w:rsidRPr="00897BF4">
        <w:rPr>
          <w:szCs w:val="20"/>
        </w:rPr>
        <w:t>διαμορφούμενο</w:t>
      </w:r>
      <w:r w:rsidRPr="00897BF4">
        <w:rPr>
          <w:szCs w:val="20"/>
        </w:rPr>
        <w:t>ς σε</w:t>
      </w:r>
      <w:r w:rsidR="00BB73CB" w:rsidRPr="00897BF4">
        <w:rPr>
          <w:szCs w:val="20"/>
        </w:rPr>
        <w:t xml:space="preserve"> €48,0 δισ. Ωστόσο, λόγω αύξησης του κόστους με υψηλότερο ρυθμό</w:t>
      </w:r>
      <w:r w:rsidR="008D4D73" w:rsidRPr="00897BF4">
        <w:rPr>
          <w:szCs w:val="20"/>
        </w:rPr>
        <w:t>,</w:t>
      </w:r>
      <w:r w:rsidR="00BB73CB" w:rsidRPr="00897BF4">
        <w:rPr>
          <w:szCs w:val="20"/>
        </w:rPr>
        <w:t xml:space="preserve"> τα </w:t>
      </w:r>
      <w:r w:rsidR="008702C9">
        <w:rPr>
          <w:szCs w:val="20"/>
        </w:rPr>
        <w:t>μεικτ</w:t>
      </w:r>
      <w:r w:rsidR="00BB73CB" w:rsidRPr="00897BF4">
        <w:rPr>
          <w:szCs w:val="20"/>
        </w:rPr>
        <w:t>ά κέρδη παρέμειναν σχεδόν στα ίδια επίπε</w:t>
      </w:r>
      <w:r w:rsidR="008D4D73" w:rsidRPr="00897BF4">
        <w:rPr>
          <w:szCs w:val="20"/>
        </w:rPr>
        <w:t>δα τη διετία 2018-2017 (οριακή μεταβολή</w:t>
      </w:r>
      <w:r w:rsidR="00E151E3" w:rsidRPr="00897BF4">
        <w:rPr>
          <w:szCs w:val="20"/>
        </w:rPr>
        <w:t xml:space="preserve"> </w:t>
      </w:r>
      <w:r w:rsidR="008D4D73" w:rsidRPr="00897BF4">
        <w:rPr>
          <w:szCs w:val="20"/>
        </w:rPr>
        <w:t>0,6%).</w:t>
      </w:r>
      <w:r w:rsidR="00DF5E06" w:rsidRPr="00897BF4">
        <w:rPr>
          <w:szCs w:val="20"/>
        </w:rPr>
        <w:t xml:space="preserve"> </w:t>
      </w:r>
      <w:r w:rsidR="008D4D73" w:rsidRPr="00897BF4">
        <w:rPr>
          <w:szCs w:val="20"/>
        </w:rPr>
        <w:t xml:space="preserve">Η εξέλιξη αυτή σε συνδυασμό </w:t>
      </w:r>
      <w:r w:rsidR="00897BF4" w:rsidRPr="00897BF4">
        <w:rPr>
          <w:szCs w:val="20"/>
        </w:rPr>
        <w:t xml:space="preserve">και </w:t>
      </w:r>
      <w:r w:rsidR="008D4D73" w:rsidRPr="00897BF4">
        <w:rPr>
          <w:szCs w:val="20"/>
        </w:rPr>
        <w:t xml:space="preserve">με την αύξηση των </w:t>
      </w:r>
      <w:r w:rsidR="00E151E3" w:rsidRPr="00897BF4">
        <w:rPr>
          <w:szCs w:val="20"/>
        </w:rPr>
        <w:t xml:space="preserve">δαπανών διοίκησης και διάθεσης </w:t>
      </w:r>
      <w:r w:rsidR="008D4D73" w:rsidRPr="00897BF4">
        <w:rPr>
          <w:szCs w:val="20"/>
        </w:rPr>
        <w:t xml:space="preserve">οδήγησαν στη μείωση του λειτουργικού αποτελέσματος κατά 10,2% την ίδια περίοδο. Από την άλλη πλευρά όμως, η σημαντική </w:t>
      </w:r>
      <w:r w:rsidR="00B57CE6">
        <w:rPr>
          <w:szCs w:val="20"/>
        </w:rPr>
        <w:t>βελτίωση</w:t>
      </w:r>
      <w:r w:rsidR="008D4D73" w:rsidRPr="00897BF4">
        <w:rPr>
          <w:szCs w:val="20"/>
        </w:rPr>
        <w:t xml:space="preserve"> του μη λειτουργικού αποτελέσματος είχε σαν αποτέλεσμα τη (μικρή) αύξηση των καθαρών κερδών κατά 2,1%.</w:t>
      </w:r>
    </w:p>
    <w:p w14:paraId="61DC0DBC" w14:textId="4F06BDBC" w:rsidR="001117C6" w:rsidRPr="00D823FE" w:rsidRDefault="003D381E" w:rsidP="00B96C69">
      <w:pPr>
        <w:suppressAutoHyphens/>
        <w:spacing w:line="360" w:lineRule="auto"/>
        <w:ind w:firstLine="720"/>
        <w:rPr>
          <w:szCs w:val="20"/>
        </w:rPr>
      </w:pPr>
      <w:r w:rsidRPr="00897BF4">
        <w:rPr>
          <w:szCs w:val="20"/>
        </w:rPr>
        <w:lastRenderedPageBreak/>
        <w:t xml:space="preserve">Το </w:t>
      </w:r>
      <w:r w:rsidR="008D6916" w:rsidRPr="00897BF4">
        <w:rPr>
          <w:szCs w:val="20"/>
        </w:rPr>
        <w:t xml:space="preserve">συνολικό ενεργητικό του κλάδου ανήλθε σε </w:t>
      </w:r>
      <w:r w:rsidR="00DF5E06" w:rsidRPr="00897BF4">
        <w:rPr>
          <w:szCs w:val="20"/>
        </w:rPr>
        <w:t>€50,3</w:t>
      </w:r>
      <w:r w:rsidR="008D6916" w:rsidRPr="00897BF4">
        <w:rPr>
          <w:szCs w:val="20"/>
        </w:rPr>
        <w:t xml:space="preserve"> δισ. το 201</w:t>
      </w:r>
      <w:r w:rsidR="00DF5E06" w:rsidRPr="00897BF4">
        <w:rPr>
          <w:szCs w:val="20"/>
        </w:rPr>
        <w:t>8</w:t>
      </w:r>
      <w:r w:rsidR="008D6916" w:rsidRPr="00897BF4">
        <w:rPr>
          <w:szCs w:val="20"/>
        </w:rPr>
        <w:t xml:space="preserve">, αυξημένο </w:t>
      </w:r>
      <w:r w:rsidRPr="00897BF4">
        <w:rPr>
          <w:szCs w:val="20"/>
        </w:rPr>
        <w:t xml:space="preserve">κατά </w:t>
      </w:r>
      <w:r w:rsidR="00DF5E06" w:rsidRPr="00897BF4">
        <w:rPr>
          <w:szCs w:val="20"/>
        </w:rPr>
        <w:t>2,9%</w:t>
      </w:r>
      <w:r w:rsidRPr="00897BF4">
        <w:rPr>
          <w:szCs w:val="20"/>
        </w:rPr>
        <w:t xml:space="preserve"> έναντι του προηγούμενου έτους</w:t>
      </w:r>
      <w:r w:rsidR="00DF5E06" w:rsidRPr="00897BF4">
        <w:rPr>
          <w:szCs w:val="20"/>
        </w:rPr>
        <w:t>. Υψηλότερη</w:t>
      </w:r>
      <w:r w:rsidR="008D6916" w:rsidRPr="00897BF4">
        <w:rPr>
          <w:szCs w:val="20"/>
        </w:rPr>
        <w:t xml:space="preserve"> αύξηση</w:t>
      </w:r>
      <w:r w:rsidR="00DF5E06" w:rsidRPr="00897BF4">
        <w:rPr>
          <w:szCs w:val="20"/>
        </w:rPr>
        <w:t xml:space="preserve"> (5,3%)</w:t>
      </w:r>
      <w:r w:rsidR="008D6916" w:rsidRPr="00897BF4">
        <w:rPr>
          <w:szCs w:val="20"/>
        </w:rPr>
        <w:t xml:space="preserve"> κατέ</w:t>
      </w:r>
      <w:r w:rsidR="005855E2" w:rsidRPr="00897BF4">
        <w:rPr>
          <w:szCs w:val="20"/>
        </w:rPr>
        <w:t>γραψαν τα ίδια κεφάλαια</w:t>
      </w:r>
      <w:r w:rsidR="00DF5E06" w:rsidRPr="00897BF4">
        <w:rPr>
          <w:szCs w:val="20"/>
        </w:rPr>
        <w:t xml:space="preserve">, </w:t>
      </w:r>
      <w:r w:rsidR="005855E2" w:rsidRPr="00897BF4">
        <w:rPr>
          <w:szCs w:val="20"/>
        </w:rPr>
        <w:t>ενώ οι συνολικές υποχρεώσεις</w:t>
      </w:r>
      <w:r w:rsidR="007045C6" w:rsidRPr="00897BF4">
        <w:rPr>
          <w:szCs w:val="20"/>
        </w:rPr>
        <w:t xml:space="preserve"> διευρύνθηκαν</w:t>
      </w:r>
      <w:r w:rsidR="00DF5E06" w:rsidRPr="00897BF4">
        <w:rPr>
          <w:szCs w:val="20"/>
        </w:rPr>
        <w:t xml:space="preserve"> μόλις κατά 1,2%. </w:t>
      </w:r>
      <w:r w:rsidR="007045C6" w:rsidRPr="00897BF4">
        <w:rPr>
          <w:szCs w:val="20"/>
        </w:rPr>
        <w:t>Ειδικότερα,</w:t>
      </w:r>
      <w:r w:rsidR="00DF5E06" w:rsidRPr="00897BF4">
        <w:rPr>
          <w:szCs w:val="20"/>
        </w:rPr>
        <w:t xml:space="preserve"> σημαντική ήταν η αύξηση των μακροπρόθεσμων υποχρεώσεων (11,</w:t>
      </w:r>
      <w:r w:rsidR="00D823FE">
        <w:rPr>
          <w:szCs w:val="20"/>
        </w:rPr>
        <w:t>3</w:t>
      </w:r>
      <w:r w:rsidR="00DF5E06" w:rsidRPr="00897BF4">
        <w:rPr>
          <w:szCs w:val="20"/>
        </w:rPr>
        <w:t xml:space="preserve">%), ενώ οι βραχυπρόθεσμες υποχρεώσεις συρρικνώθηκαν κατά 3,3% το τελευταίο έτος. </w:t>
      </w:r>
      <w:r w:rsidR="00AA338F" w:rsidRPr="00897BF4">
        <w:rPr>
          <w:szCs w:val="20"/>
        </w:rPr>
        <w:t>Οι</w:t>
      </w:r>
      <w:r w:rsidR="00C0225C" w:rsidRPr="00897BF4">
        <w:rPr>
          <w:szCs w:val="20"/>
        </w:rPr>
        <w:t xml:space="preserve"> μεταβολές </w:t>
      </w:r>
      <w:r w:rsidR="00AA338F" w:rsidRPr="00897BF4">
        <w:rPr>
          <w:szCs w:val="20"/>
        </w:rPr>
        <w:t>αυτές οδήγησαν</w:t>
      </w:r>
      <w:r w:rsidR="00D823FE">
        <w:rPr>
          <w:szCs w:val="20"/>
        </w:rPr>
        <w:t xml:space="preserve"> στη</w:t>
      </w:r>
      <w:r w:rsidR="00AA338F" w:rsidRPr="00897BF4">
        <w:rPr>
          <w:szCs w:val="20"/>
        </w:rPr>
        <w:t xml:space="preserve"> βελτίωση</w:t>
      </w:r>
      <w:r w:rsidR="00A449E8" w:rsidRPr="00897BF4">
        <w:rPr>
          <w:szCs w:val="20"/>
        </w:rPr>
        <w:t xml:space="preserve"> της </w:t>
      </w:r>
      <w:r w:rsidR="007045C6" w:rsidRPr="00897BF4">
        <w:rPr>
          <w:szCs w:val="20"/>
        </w:rPr>
        <w:t>σχέσης ξένων προς ίδια κεφάλαια σε</w:t>
      </w:r>
      <w:r w:rsidR="001117C6" w:rsidRPr="00897BF4">
        <w:rPr>
          <w:szCs w:val="20"/>
        </w:rPr>
        <w:t xml:space="preserve"> 1,46</w:t>
      </w:r>
      <w:r w:rsidR="007045C6" w:rsidRPr="00897BF4">
        <w:rPr>
          <w:szCs w:val="20"/>
        </w:rPr>
        <w:t xml:space="preserve"> το 201</w:t>
      </w:r>
      <w:r w:rsidR="001117C6" w:rsidRPr="00897BF4">
        <w:rPr>
          <w:szCs w:val="20"/>
        </w:rPr>
        <w:t>8</w:t>
      </w:r>
      <w:r w:rsidR="007045C6" w:rsidRPr="00897BF4">
        <w:rPr>
          <w:szCs w:val="20"/>
        </w:rPr>
        <w:t xml:space="preserve"> από</w:t>
      </w:r>
      <w:r w:rsidR="001117C6" w:rsidRPr="00897BF4">
        <w:rPr>
          <w:szCs w:val="20"/>
        </w:rPr>
        <w:t xml:space="preserve"> 1,52 το 2017.</w:t>
      </w:r>
    </w:p>
    <w:p w14:paraId="5207DFF4" w14:textId="77777777" w:rsidR="008D6916" w:rsidRPr="00897BF4" w:rsidRDefault="001117C6" w:rsidP="00536D4F">
      <w:pPr>
        <w:suppressAutoHyphens/>
        <w:spacing w:line="360" w:lineRule="auto"/>
        <w:rPr>
          <w:szCs w:val="20"/>
        </w:rPr>
      </w:pPr>
      <w:r w:rsidRPr="00897BF4">
        <w:rPr>
          <w:szCs w:val="20"/>
        </w:rPr>
        <w:t xml:space="preserve">Οι δείκτες κερδοφορίας συρρικνώθηκαν ελαφρώς το 2018 και συγκεκριμένα το περιθώριο </w:t>
      </w:r>
      <w:r w:rsidR="008702C9">
        <w:rPr>
          <w:szCs w:val="20"/>
        </w:rPr>
        <w:t>μεικτ</w:t>
      </w:r>
      <w:r w:rsidRPr="00897BF4">
        <w:rPr>
          <w:szCs w:val="20"/>
        </w:rPr>
        <w:t xml:space="preserve">ού κέρδους περιορίστηκε κατά 2,16 ποσοστιαίες μονάδες, του λειτουργικού κέρδους κατά 1,19 και του καθαρού κέρδους κατά 0,55 ποσοστιαίες μονάδες. Ελαφρά επιδείνωση παρουσίασε και </w:t>
      </w:r>
      <w:r w:rsidR="008E1AE7" w:rsidRPr="00897BF4">
        <w:rPr>
          <w:szCs w:val="20"/>
        </w:rPr>
        <w:t xml:space="preserve">ο δείκτης </w:t>
      </w:r>
      <w:r w:rsidR="00E943BD" w:rsidRPr="00897BF4">
        <w:rPr>
          <w:szCs w:val="20"/>
        </w:rPr>
        <w:t>αποδοτικότητας ιδίων κεφαλαίων σε</w:t>
      </w:r>
      <w:r w:rsidRPr="00897BF4">
        <w:rPr>
          <w:szCs w:val="20"/>
        </w:rPr>
        <w:t xml:space="preserve"> 12,51%</w:t>
      </w:r>
      <w:r w:rsidR="008E1AE7" w:rsidRPr="00897BF4">
        <w:rPr>
          <w:szCs w:val="20"/>
        </w:rPr>
        <w:t xml:space="preserve"> το 201</w:t>
      </w:r>
      <w:r w:rsidRPr="00897BF4">
        <w:rPr>
          <w:szCs w:val="20"/>
        </w:rPr>
        <w:t xml:space="preserve">8 </w:t>
      </w:r>
      <w:r w:rsidR="008E1AE7" w:rsidRPr="00897BF4">
        <w:rPr>
          <w:szCs w:val="20"/>
        </w:rPr>
        <w:t>από</w:t>
      </w:r>
      <w:r w:rsidRPr="00897BF4">
        <w:rPr>
          <w:szCs w:val="20"/>
        </w:rPr>
        <w:t xml:space="preserve"> 13,26%</w:t>
      </w:r>
      <w:r w:rsidR="00C0225C" w:rsidRPr="00897BF4">
        <w:rPr>
          <w:szCs w:val="20"/>
        </w:rPr>
        <w:t xml:space="preserve"> το 201</w:t>
      </w:r>
      <w:r w:rsidRPr="00897BF4">
        <w:rPr>
          <w:szCs w:val="20"/>
        </w:rPr>
        <w:t>7.</w:t>
      </w:r>
      <w:r w:rsidR="00E943BD" w:rsidRPr="00897BF4">
        <w:rPr>
          <w:szCs w:val="20"/>
        </w:rPr>
        <w:t xml:space="preserve"> </w:t>
      </w:r>
    </w:p>
    <w:p w14:paraId="13277ABF" w14:textId="77777777" w:rsidR="002F47C9" w:rsidRPr="00D25879" w:rsidRDefault="002F47C9" w:rsidP="00536D4F">
      <w:pPr>
        <w:suppressAutoHyphens/>
        <w:spacing w:line="360" w:lineRule="auto"/>
        <w:rPr>
          <w:szCs w:val="20"/>
          <w:highlight w:val="yellow"/>
        </w:rPr>
      </w:pPr>
    </w:p>
    <w:p w14:paraId="6C9CA276" w14:textId="77777777" w:rsidR="0029321A" w:rsidRPr="006543C1" w:rsidRDefault="0029321A" w:rsidP="00B96C69">
      <w:pPr>
        <w:suppressAutoHyphens/>
        <w:spacing w:line="360" w:lineRule="auto"/>
        <w:ind w:firstLine="720"/>
        <w:rPr>
          <w:bCs/>
          <w:szCs w:val="20"/>
        </w:rPr>
      </w:pPr>
      <w:r w:rsidRPr="006543C1">
        <w:rPr>
          <w:szCs w:val="20"/>
        </w:rPr>
        <w:t>Ο κύκλος εργασιών στον κλάδο</w:t>
      </w:r>
      <w:r w:rsidR="002F47C9" w:rsidRPr="006543C1">
        <w:rPr>
          <w:szCs w:val="20"/>
        </w:rPr>
        <w:t xml:space="preserve"> της </w:t>
      </w:r>
      <w:r w:rsidR="002F47C9" w:rsidRPr="006543C1">
        <w:rPr>
          <w:b/>
          <w:szCs w:val="20"/>
        </w:rPr>
        <w:t>ενέργειας-ύδρευσης</w:t>
      </w:r>
      <w:r w:rsidR="00922D37" w:rsidRPr="006543C1">
        <w:rPr>
          <w:b/>
          <w:szCs w:val="20"/>
        </w:rPr>
        <w:t xml:space="preserve"> </w:t>
      </w:r>
      <w:r w:rsidRPr="006543C1">
        <w:rPr>
          <w:bCs/>
          <w:szCs w:val="20"/>
        </w:rPr>
        <w:t>κυμάνθηκε στα ίδια σχεδόν επίπεδα τη διετία 2018-2017 (οριακή μεταβολή 0,</w:t>
      </w:r>
      <w:r w:rsidR="00D823FE">
        <w:rPr>
          <w:bCs/>
          <w:szCs w:val="20"/>
        </w:rPr>
        <w:t>5</w:t>
      </w:r>
      <w:r w:rsidRPr="006543C1">
        <w:rPr>
          <w:bCs/>
          <w:szCs w:val="20"/>
        </w:rPr>
        <w:t xml:space="preserve">%), ενώ τα συνολικά </w:t>
      </w:r>
      <w:r w:rsidR="008702C9">
        <w:rPr>
          <w:bCs/>
          <w:szCs w:val="20"/>
        </w:rPr>
        <w:t>μεικτ</w:t>
      </w:r>
      <w:r w:rsidRPr="006543C1">
        <w:rPr>
          <w:bCs/>
          <w:szCs w:val="20"/>
        </w:rPr>
        <w:t xml:space="preserve">ά κέρδη μειώθηκαν κατά 5,3%. Η </w:t>
      </w:r>
      <w:r w:rsidR="00D823FE">
        <w:rPr>
          <w:bCs/>
          <w:szCs w:val="20"/>
        </w:rPr>
        <w:t>μεταβολή</w:t>
      </w:r>
      <w:r w:rsidRPr="006543C1">
        <w:rPr>
          <w:bCs/>
          <w:szCs w:val="20"/>
        </w:rPr>
        <w:t xml:space="preserve"> αυτή σε συνδυασμό με τη </w:t>
      </w:r>
      <w:r w:rsidR="00744AEB" w:rsidRPr="006543C1">
        <w:rPr>
          <w:bCs/>
          <w:szCs w:val="20"/>
        </w:rPr>
        <w:t>σημαντικότατη</w:t>
      </w:r>
      <w:r w:rsidRPr="006543C1">
        <w:rPr>
          <w:bCs/>
          <w:szCs w:val="20"/>
        </w:rPr>
        <w:t xml:space="preserve"> αύξηση των λοιπών λειτουργικών εξόδων</w:t>
      </w:r>
      <w:r w:rsidR="00744AEB" w:rsidRPr="006543C1">
        <w:rPr>
          <w:bCs/>
          <w:szCs w:val="20"/>
        </w:rPr>
        <w:t xml:space="preserve"> (67,</w:t>
      </w:r>
      <w:r w:rsidR="00D823FE">
        <w:rPr>
          <w:bCs/>
          <w:szCs w:val="20"/>
        </w:rPr>
        <w:t>2</w:t>
      </w:r>
      <w:r w:rsidR="00744AEB" w:rsidRPr="006543C1">
        <w:rPr>
          <w:bCs/>
          <w:szCs w:val="20"/>
        </w:rPr>
        <w:t>%)</w:t>
      </w:r>
      <w:r w:rsidRPr="006543C1">
        <w:rPr>
          <w:bCs/>
          <w:szCs w:val="20"/>
        </w:rPr>
        <w:t xml:space="preserve"> είχαν σαν </w:t>
      </w:r>
      <w:r w:rsidR="00D823FE">
        <w:rPr>
          <w:bCs/>
          <w:szCs w:val="20"/>
        </w:rPr>
        <w:t>συνέπεια</w:t>
      </w:r>
      <w:r w:rsidRPr="006543C1">
        <w:rPr>
          <w:bCs/>
          <w:szCs w:val="20"/>
        </w:rPr>
        <w:t xml:space="preserve"> τη</w:t>
      </w:r>
      <w:r w:rsidR="00744AEB" w:rsidRPr="006543C1">
        <w:rPr>
          <w:bCs/>
          <w:szCs w:val="20"/>
        </w:rPr>
        <w:t>ν</w:t>
      </w:r>
      <w:r w:rsidRPr="006543C1">
        <w:rPr>
          <w:bCs/>
          <w:szCs w:val="20"/>
        </w:rPr>
        <w:t xml:space="preserve"> </w:t>
      </w:r>
      <w:r w:rsidR="00744AEB" w:rsidRPr="006543C1">
        <w:rPr>
          <w:bCs/>
          <w:szCs w:val="20"/>
        </w:rPr>
        <w:t xml:space="preserve">κατακόρυφη μείωση </w:t>
      </w:r>
      <w:r w:rsidR="00261E8F" w:rsidRPr="006543C1">
        <w:rPr>
          <w:bCs/>
          <w:szCs w:val="20"/>
        </w:rPr>
        <w:t>του συνολικού λειτουργικού αποτελέσματος</w:t>
      </w:r>
      <w:r w:rsidR="00744AEB" w:rsidRPr="006543C1">
        <w:rPr>
          <w:bCs/>
          <w:szCs w:val="20"/>
        </w:rPr>
        <w:t xml:space="preserve"> (-85,0%). Αποτέλεσμα των ανωτέρω ήταν η σημαντική μείωση των καθαρών κερδών, από €946 εκ. το 2017 σε €142,8 εκ. το 2018</w:t>
      </w:r>
      <w:r w:rsidR="00BF2C5F">
        <w:rPr>
          <w:rStyle w:val="FootnoteReference"/>
          <w:bCs/>
          <w:szCs w:val="20"/>
        </w:rPr>
        <w:footnoteReference w:id="4"/>
      </w:r>
      <w:r w:rsidR="00197E16">
        <w:rPr>
          <w:bCs/>
          <w:szCs w:val="20"/>
        </w:rPr>
        <w:t>.</w:t>
      </w:r>
      <w:r w:rsidR="00744AEB" w:rsidRPr="006543C1">
        <w:rPr>
          <w:bCs/>
          <w:szCs w:val="20"/>
        </w:rPr>
        <w:t xml:space="preserve"> </w:t>
      </w:r>
    </w:p>
    <w:p w14:paraId="50118818" w14:textId="77777777" w:rsidR="00744AEB" w:rsidRPr="006543C1" w:rsidRDefault="002F47C9" w:rsidP="0025249A">
      <w:pPr>
        <w:suppressAutoHyphens/>
        <w:spacing w:line="360" w:lineRule="auto"/>
        <w:rPr>
          <w:szCs w:val="20"/>
        </w:rPr>
      </w:pPr>
      <w:r w:rsidRPr="006543C1">
        <w:rPr>
          <w:szCs w:val="20"/>
        </w:rPr>
        <w:t xml:space="preserve">Από πλευράς </w:t>
      </w:r>
      <w:r w:rsidR="00AF3184" w:rsidRPr="006543C1">
        <w:rPr>
          <w:szCs w:val="20"/>
        </w:rPr>
        <w:t xml:space="preserve">μεγεθών </w:t>
      </w:r>
      <w:r w:rsidRPr="006543C1">
        <w:rPr>
          <w:szCs w:val="20"/>
        </w:rPr>
        <w:t>ισολογισμού, το ενεργητικό</w:t>
      </w:r>
      <w:r w:rsidR="00744AEB" w:rsidRPr="006543C1">
        <w:rPr>
          <w:szCs w:val="20"/>
        </w:rPr>
        <w:t xml:space="preserve"> συρρικνώθηκε κατά 6,</w:t>
      </w:r>
      <w:r w:rsidR="00D823FE">
        <w:rPr>
          <w:szCs w:val="20"/>
        </w:rPr>
        <w:t>3</w:t>
      </w:r>
      <w:r w:rsidR="00744AEB" w:rsidRPr="006543C1">
        <w:rPr>
          <w:szCs w:val="20"/>
        </w:rPr>
        <w:t>% το 2018/2017, φτάνοντας τα €30,5 δισ. Σημαντική μείωση κατέγραψαν τα συνολικά ίδια κεφάλαια (-15,4%)</w:t>
      </w:r>
      <w:r w:rsidR="00D823FE">
        <w:rPr>
          <w:szCs w:val="20"/>
        </w:rPr>
        <w:t>,</w:t>
      </w:r>
    </w:p>
    <w:p w14:paraId="4B9EEB0B" w14:textId="77777777" w:rsidR="008E266A" w:rsidRPr="006543C1" w:rsidRDefault="00AD4E8B" w:rsidP="0025249A">
      <w:pPr>
        <w:suppressAutoHyphens/>
        <w:spacing w:line="360" w:lineRule="auto"/>
        <w:rPr>
          <w:szCs w:val="20"/>
        </w:rPr>
      </w:pPr>
      <w:r w:rsidRPr="006543C1">
        <w:rPr>
          <w:szCs w:val="20"/>
        </w:rPr>
        <w:t xml:space="preserve">οι </w:t>
      </w:r>
      <w:r w:rsidR="00A95CBC" w:rsidRPr="006543C1">
        <w:rPr>
          <w:szCs w:val="20"/>
        </w:rPr>
        <w:t xml:space="preserve">δε </w:t>
      </w:r>
      <w:r w:rsidRPr="006543C1">
        <w:rPr>
          <w:szCs w:val="20"/>
        </w:rPr>
        <w:t xml:space="preserve">συνολικές </w:t>
      </w:r>
      <w:r w:rsidR="00527152" w:rsidRPr="006543C1">
        <w:rPr>
          <w:szCs w:val="20"/>
        </w:rPr>
        <w:t>υποχρεώσεις</w:t>
      </w:r>
      <w:r w:rsidRPr="006543C1">
        <w:rPr>
          <w:szCs w:val="20"/>
        </w:rPr>
        <w:t xml:space="preserve"> </w:t>
      </w:r>
      <w:r w:rsidR="00744AEB" w:rsidRPr="006543C1">
        <w:rPr>
          <w:szCs w:val="20"/>
        </w:rPr>
        <w:t>συρρικνώθηκαν κατά 1,8% την ίδια περίοδο.</w:t>
      </w:r>
      <w:r w:rsidR="00EC3B7B" w:rsidRPr="006543C1">
        <w:rPr>
          <w:szCs w:val="20"/>
        </w:rPr>
        <w:t xml:space="preserve"> </w:t>
      </w:r>
      <w:r w:rsidRPr="006543C1">
        <w:rPr>
          <w:szCs w:val="20"/>
        </w:rPr>
        <w:t xml:space="preserve">Ειδικότερα, οι μακροπρόθεσμες υποχρεώσεις </w:t>
      </w:r>
      <w:r w:rsidR="00744AEB" w:rsidRPr="006543C1">
        <w:rPr>
          <w:szCs w:val="20"/>
        </w:rPr>
        <w:t xml:space="preserve">αυξήθηκαν κατά 5,8% ενώ οι </w:t>
      </w:r>
      <w:r w:rsidRPr="006543C1">
        <w:rPr>
          <w:szCs w:val="20"/>
        </w:rPr>
        <w:t xml:space="preserve">βραχυπρόθεσμες </w:t>
      </w:r>
      <w:r w:rsidR="008E266A" w:rsidRPr="006543C1">
        <w:rPr>
          <w:szCs w:val="20"/>
        </w:rPr>
        <w:t>μειώθηκαν κατά 10,</w:t>
      </w:r>
      <w:r w:rsidR="00D823FE">
        <w:rPr>
          <w:szCs w:val="20"/>
        </w:rPr>
        <w:t>6</w:t>
      </w:r>
      <w:r w:rsidR="008E266A" w:rsidRPr="006543C1">
        <w:rPr>
          <w:szCs w:val="20"/>
        </w:rPr>
        <w:t>% το ίδιο έτος.</w:t>
      </w:r>
    </w:p>
    <w:p w14:paraId="2AABD52C" w14:textId="77777777" w:rsidR="008E266A" w:rsidRPr="006543C1" w:rsidRDefault="008E266A" w:rsidP="0025249A">
      <w:pPr>
        <w:suppressAutoHyphens/>
        <w:spacing w:line="360" w:lineRule="auto"/>
        <w:rPr>
          <w:szCs w:val="20"/>
        </w:rPr>
      </w:pPr>
      <w:r w:rsidRPr="006543C1">
        <w:rPr>
          <w:szCs w:val="20"/>
        </w:rPr>
        <w:t xml:space="preserve">Επιδείνωση παρουσίασαν το 2018 </w:t>
      </w:r>
      <w:r w:rsidR="00D5436F" w:rsidRPr="006543C1">
        <w:rPr>
          <w:szCs w:val="20"/>
        </w:rPr>
        <w:t>βασικο</w:t>
      </w:r>
      <w:r w:rsidRPr="006543C1">
        <w:rPr>
          <w:szCs w:val="20"/>
        </w:rPr>
        <w:t xml:space="preserve">ί </w:t>
      </w:r>
      <w:r w:rsidR="00D5436F" w:rsidRPr="006543C1">
        <w:rPr>
          <w:szCs w:val="20"/>
        </w:rPr>
        <w:t>αριθμοδείκτες</w:t>
      </w:r>
      <w:r w:rsidRPr="006543C1">
        <w:rPr>
          <w:szCs w:val="20"/>
        </w:rPr>
        <w:t xml:space="preserve"> του κλάδου (δείκτες κερδοφορίας, αποδοτικότητας ιδίων κεφαλαίων). </w:t>
      </w:r>
    </w:p>
    <w:p w14:paraId="1D1DBA19" w14:textId="77777777" w:rsidR="000F0DC1" w:rsidRPr="00D25879" w:rsidRDefault="000F0DC1" w:rsidP="00C34992">
      <w:pPr>
        <w:suppressAutoHyphens/>
        <w:spacing w:line="360" w:lineRule="auto"/>
        <w:rPr>
          <w:szCs w:val="20"/>
          <w:highlight w:val="yellow"/>
        </w:rPr>
      </w:pPr>
    </w:p>
    <w:p w14:paraId="18792501" w14:textId="77777777" w:rsidR="008579A5" w:rsidRPr="006543C1" w:rsidRDefault="002F47C9" w:rsidP="00B96C69">
      <w:pPr>
        <w:suppressAutoHyphens/>
        <w:spacing w:line="360" w:lineRule="auto"/>
        <w:ind w:firstLine="720"/>
        <w:rPr>
          <w:szCs w:val="20"/>
        </w:rPr>
      </w:pPr>
      <w:r w:rsidRPr="006543C1">
        <w:rPr>
          <w:szCs w:val="20"/>
        </w:rPr>
        <w:t>Στον</w:t>
      </w:r>
      <w:r w:rsidR="00BC015A" w:rsidRPr="006543C1">
        <w:rPr>
          <w:szCs w:val="20"/>
        </w:rPr>
        <w:t xml:space="preserve"> τομέα των</w:t>
      </w:r>
      <w:r w:rsidRPr="006543C1">
        <w:rPr>
          <w:b/>
          <w:szCs w:val="20"/>
        </w:rPr>
        <w:t xml:space="preserve"> κατασκευ</w:t>
      </w:r>
      <w:r w:rsidR="00BC015A" w:rsidRPr="006543C1">
        <w:rPr>
          <w:b/>
          <w:szCs w:val="20"/>
        </w:rPr>
        <w:t>ών</w:t>
      </w:r>
      <w:r w:rsidR="006543C1" w:rsidRPr="006543C1">
        <w:rPr>
          <w:b/>
          <w:szCs w:val="20"/>
        </w:rPr>
        <w:t xml:space="preserve">, </w:t>
      </w:r>
      <w:r w:rsidR="006543C1" w:rsidRPr="006543C1">
        <w:rPr>
          <w:bCs/>
          <w:szCs w:val="20"/>
        </w:rPr>
        <w:t>σε δείγμα 881 επιχειρήσεων,</w:t>
      </w:r>
      <w:r w:rsidR="00FB5726" w:rsidRPr="006543C1">
        <w:rPr>
          <w:b/>
          <w:szCs w:val="20"/>
        </w:rPr>
        <w:t xml:space="preserve"> </w:t>
      </w:r>
      <w:r w:rsidR="001141A9" w:rsidRPr="006543C1">
        <w:rPr>
          <w:szCs w:val="20"/>
        </w:rPr>
        <w:t>καταγράφηκε</w:t>
      </w:r>
      <w:r w:rsidR="00C660B5" w:rsidRPr="006543C1">
        <w:rPr>
          <w:szCs w:val="20"/>
        </w:rPr>
        <w:t xml:space="preserve"> </w:t>
      </w:r>
      <w:r w:rsidR="00D73046" w:rsidRPr="006543C1">
        <w:rPr>
          <w:szCs w:val="20"/>
        </w:rPr>
        <w:t xml:space="preserve">μικρή </w:t>
      </w:r>
      <w:r w:rsidR="00784CB2" w:rsidRPr="006543C1">
        <w:rPr>
          <w:szCs w:val="20"/>
        </w:rPr>
        <w:t>μείωση</w:t>
      </w:r>
      <w:r w:rsidR="00C660B5" w:rsidRPr="006543C1">
        <w:rPr>
          <w:szCs w:val="20"/>
        </w:rPr>
        <w:t xml:space="preserve"> του κύκλου εργασιών</w:t>
      </w:r>
      <w:r w:rsidR="00D73046" w:rsidRPr="006543C1">
        <w:rPr>
          <w:szCs w:val="20"/>
        </w:rPr>
        <w:t xml:space="preserve"> κατά</w:t>
      </w:r>
      <w:r w:rsidR="006543C1" w:rsidRPr="006543C1">
        <w:rPr>
          <w:szCs w:val="20"/>
        </w:rPr>
        <w:t xml:space="preserve"> 1,</w:t>
      </w:r>
      <w:r w:rsidR="00276692">
        <w:rPr>
          <w:szCs w:val="20"/>
        </w:rPr>
        <w:t>6</w:t>
      </w:r>
      <w:r w:rsidR="006543C1" w:rsidRPr="006543C1">
        <w:rPr>
          <w:szCs w:val="20"/>
        </w:rPr>
        <w:t>%</w:t>
      </w:r>
      <w:r w:rsidR="008579A5" w:rsidRPr="006543C1">
        <w:rPr>
          <w:szCs w:val="20"/>
        </w:rPr>
        <w:t xml:space="preserve"> το 2018 σε σχέση με το 2017,</w:t>
      </w:r>
      <w:r w:rsidR="00D73046" w:rsidRPr="006543C1">
        <w:rPr>
          <w:szCs w:val="20"/>
        </w:rPr>
        <w:t xml:space="preserve"> </w:t>
      </w:r>
      <w:r w:rsidR="008579A5" w:rsidRPr="006543C1">
        <w:rPr>
          <w:szCs w:val="20"/>
        </w:rPr>
        <w:t>αλλά τα μεικτά κέρδη μειώθηκαν με αρκετά πιο υψηλό ρυθμό (</w:t>
      </w:r>
      <w:r w:rsidR="00276692">
        <w:rPr>
          <w:szCs w:val="20"/>
        </w:rPr>
        <w:t>13,2</w:t>
      </w:r>
      <w:r w:rsidR="008579A5" w:rsidRPr="006543C1">
        <w:rPr>
          <w:szCs w:val="20"/>
        </w:rPr>
        <w:t xml:space="preserve">%). Αποτέλεσμα της εξέλιξης αυτής ήταν η περαιτέρω επιδείνωση του λειτουργικού αποτελέσματος, το οποίο διαμορφώθηκε σε αρνητικά επίπεδα και τα δύο έτη. Το τελικό καθαρό αποτέλεσμα ήταν ζημιογόνο την εξεταζόμενη διετία, οι δε ζημιές αυξήθηκαν σε ετήσια βάση κατά 42,8% (2018: €-213,3 εκ. 2017:€-149,4 εκ.).  </w:t>
      </w:r>
    </w:p>
    <w:p w14:paraId="7A8D5B9F" w14:textId="77777777" w:rsidR="00156229" w:rsidRPr="006543C1" w:rsidRDefault="007745A6" w:rsidP="007745A6">
      <w:pPr>
        <w:suppressAutoHyphens/>
        <w:spacing w:line="360" w:lineRule="auto"/>
        <w:rPr>
          <w:szCs w:val="20"/>
        </w:rPr>
      </w:pPr>
      <w:r w:rsidRPr="006543C1">
        <w:rPr>
          <w:szCs w:val="20"/>
        </w:rPr>
        <w:t xml:space="preserve">Σχετικά με τη διαμόρφωση </w:t>
      </w:r>
      <w:r w:rsidR="004A6451" w:rsidRPr="006543C1">
        <w:rPr>
          <w:szCs w:val="20"/>
        </w:rPr>
        <w:t xml:space="preserve">ορισμένων </w:t>
      </w:r>
      <w:r w:rsidRPr="006543C1">
        <w:rPr>
          <w:szCs w:val="20"/>
        </w:rPr>
        <w:t>μεγεθών του ισολογισμού, το ενεργητικό</w:t>
      </w:r>
      <w:r w:rsidR="00FC3E86" w:rsidRPr="006543C1">
        <w:rPr>
          <w:szCs w:val="20"/>
        </w:rPr>
        <w:t xml:space="preserve"> </w:t>
      </w:r>
      <w:r w:rsidRPr="006543C1">
        <w:rPr>
          <w:szCs w:val="20"/>
        </w:rPr>
        <w:t xml:space="preserve">σημείωσε </w:t>
      </w:r>
      <w:r w:rsidR="00000212" w:rsidRPr="006543C1">
        <w:rPr>
          <w:szCs w:val="20"/>
        </w:rPr>
        <w:t xml:space="preserve">μικρή </w:t>
      </w:r>
      <w:r w:rsidRPr="006543C1">
        <w:rPr>
          <w:szCs w:val="20"/>
        </w:rPr>
        <w:t>μείωση κατά</w:t>
      </w:r>
      <w:r w:rsidR="00156229" w:rsidRPr="006543C1">
        <w:rPr>
          <w:szCs w:val="20"/>
        </w:rPr>
        <w:t xml:space="preserve"> </w:t>
      </w:r>
      <w:r w:rsidR="00000212" w:rsidRPr="006543C1">
        <w:rPr>
          <w:szCs w:val="20"/>
        </w:rPr>
        <w:t>1,</w:t>
      </w:r>
      <w:r w:rsidR="00096811">
        <w:rPr>
          <w:szCs w:val="20"/>
        </w:rPr>
        <w:t>4</w:t>
      </w:r>
      <w:r w:rsidR="00000212" w:rsidRPr="006543C1">
        <w:rPr>
          <w:szCs w:val="20"/>
        </w:rPr>
        <w:t>%</w:t>
      </w:r>
      <w:r w:rsidRPr="006543C1">
        <w:rPr>
          <w:szCs w:val="20"/>
        </w:rPr>
        <w:t xml:space="preserve"> και διαμορφώθηκε</w:t>
      </w:r>
      <w:r w:rsidR="00156229" w:rsidRPr="006543C1">
        <w:rPr>
          <w:szCs w:val="20"/>
        </w:rPr>
        <w:t xml:space="preserve"> σε </w:t>
      </w:r>
      <w:r w:rsidR="00000212" w:rsidRPr="006543C1">
        <w:rPr>
          <w:szCs w:val="20"/>
        </w:rPr>
        <w:t xml:space="preserve">€15,1 </w:t>
      </w:r>
      <w:r w:rsidR="00156229" w:rsidRPr="006543C1">
        <w:rPr>
          <w:szCs w:val="20"/>
        </w:rPr>
        <w:t xml:space="preserve">δισ. </w:t>
      </w:r>
      <w:r w:rsidR="004A6451" w:rsidRPr="006543C1">
        <w:rPr>
          <w:szCs w:val="20"/>
        </w:rPr>
        <w:t>το 201</w:t>
      </w:r>
      <w:r w:rsidR="00000212" w:rsidRPr="006543C1">
        <w:rPr>
          <w:szCs w:val="20"/>
        </w:rPr>
        <w:t>8</w:t>
      </w:r>
      <w:r w:rsidR="004A6451" w:rsidRPr="006543C1">
        <w:rPr>
          <w:szCs w:val="20"/>
        </w:rPr>
        <w:t xml:space="preserve">. </w:t>
      </w:r>
      <w:r w:rsidR="00565BB2" w:rsidRPr="006543C1">
        <w:rPr>
          <w:szCs w:val="20"/>
        </w:rPr>
        <w:t>Τα</w:t>
      </w:r>
      <w:r w:rsidRPr="006543C1">
        <w:rPr>
          <w:szCs w:val="20"/>
        </w:rPr>
        <w:t xml:space="preserve"> ίδια κεφάλαια</w:t>
      </w:r>
      <w:r w:rsidR="00565BB2" w:rsidRPr="006543C1">
        <w:rPr>
          <w:szCs w:val="20"/>
        </w:rPr>
        <w:t xml:space="preserve"> διευρύνθηκαν κατά </w:t>
      </w:r>
      <w:r w:rsidR="00096811">
        <w:rPr>
          <w:szCs w:val="20"/>
        </w:rPr>
        <w:t>4%</w:t>
      </w:r>
      <w:r w:rsidR="004A6451" w:rsidRPr="006543C1">
        <w:rPr>
          <w:szCs w:val="20"/>
        </w:rPr>
        <w:t xml:space="preserve"> </w:t>
      </w:r>
      <w:r w:rsidRPr="006543C1">
        <w:rPr>
          <w:szCs w:val="20"/>
        </w:rPr>
        <w:t xml:space="preserve">ενώ οι συνολικές υποχρεώσεις </w:t>
      </w:r>
      <w:r w:rsidR="00156229" w:rsidRPr="006543C1">
        <w:rPr>
          <w:szCs w:val="20"/>
        </w:rPr>
        <w:t>συρρικνώθηκαν</w:t>
      </w:r>
      <w:r w:rsidR="00565BB2" w:rsidRPr="006543C1">
        <w:rPr>
          <w:szCs w:val="20"/>
        </w:rPr>
        <w:t xml:space="preserve"> κατά 5,</w:t>
      </w:r>
      <w:r w:rsidR="00096811">
        <w:rPr>
          <w:szCs w:val="20"/>
        </w:rPr>
        <w:t>3</w:t>
      </w:r>
      <w:r w:rsidR="00565BB2" w:rsidRPr="006543C1">
        <w:rPr>
          <w:szCs w:val="20"/>
        </w:rPr>
        <w:t xml:space="preserve">%. </w:t>
      </w:r>
    </w:p>
    <w:p w14:paraId="18905F6A" w14:textId="77777777" w:rsidR="00385068" w:rsidRDefault="00385068" w:rsidP="007745A6">
      <w:pPr>
        <w:suppressAutoHyphens/>
        <w:spacing w:line="360" w:lineRule="auto"/>
        <w:rPr>
          <w:szCs w:val="20"/>
        </w:rPr>
      </w:pPr>
    </w:p>
    <w:p w14:paraId="1C00CED0" w14:textId="758A0713" w:rsidR="002D3238" w:rsidRPr="006543C1" w:rsidRDefault="00565BB2" w:rsidP="00B96C69">
      <w:pPr>
        <w:suppressAutoHyphens/>
        <w:spacing w:line="360" w:lineRule="auto"/>
        <w:ind w:firstLine="720"/>
        <w:rPr>
          <w:szCs w:val="20"/>
        </w:rPr>
      </w:pPr>
      <w:r w:rsidRPr="006543C1">
        <w:rPr>
          <w:szCs w:val="20"/>
        </w:rPr>
        <w:lastRenderedPageBreak/>
        <w:t xml:space="preserve">Η σχέση ξένων προς ίδια κεφάλαια βελτιώθηκε ελαφρώς σε 1,34 το 2018 από 1,47 το προηγούμενο έτος. </w:t>
      </w:r>
      <w:r w:rsidR="007745A6" w:rsidRPr="006543C1">
        <w:rPr>
          <w:szCs w:val="20"/>
        </w:rPr>
        <w:t>Το περιθώριο μεικτού κέρδους</w:t>
      </w:r>
      <w:r w:rsidR="006543C1" w:rsidRPr="006543C1">
        <w:rPr>
          <w:szCs w:val="20"/>
        </w:rPr>
        <w:t xml:space="preserve"> περιορίστηκε κατά 1,15 ποσοστιαίες μονάδες,</w:t>
      </w:r>
      <w:r w:rsidRPr="006543C1">
        <w:rPr>
          <w:szCs w:val="20"/>
        </w:rPr>
        <w:t xml:space="preserve"> </w:t>
      </w:r>
      <w:r w:rsidR="007745A6" w:rsidRPr="006543C1">
        <w:rPr>
          <w:szCs w:val="20"/>
        </w:rPr>
        <w:t>η δε αποδοτικότητα ιδίων κεφαλαίων</w:t>
      </w:r>
      <w:r w:rsidRPr="006543C1">
        <w:rPr>
          <w:szCs w:val="20"/>
        </w:rPr>
        <w:t xml:space="preserve"> κυμάνθηκε σε αρνητικά επίπεδα και τα δύο έτη. </w:t>
      </w:r>
    </w:p>
    <w:p w14:paraId="660AB257" w14:textId="77777777" w:rsidR="0042039B" w:rsidRPr="00171EE2" w:rsidRDefault="001C373A" w:rsidP="004C782A">
      <w:pPr>
        <w:suppressAutoHyphens/>
        <w:spacing w:line="360" w:lineRule="auto"/>
        <w:rPr>
          <w:szCs w:val="20"/>
          <w:highlight w:val="yellow"/>
        </w:rPr>
      </w:pPr>
      <w:r w:rsidRPr="00171EE2">
        <w:rPr>
          <w:szCs w:val="20"/>
        </w:rPr>
        <w:t xml:space="preserve">Αναφορικά με </w:t>
      </w:r>
      <w:r w:rsidR="00A15529" w:rsidRPr="00171EE2">
        <w:rPr>
          <w:szCs w:val="20"/>
        </w:rPr>
        <w:t>τ</w:t>
      </w:r>
      <w:r w:rsidR="002F47C9" w:rsidRPr="00171EE2">
        <w:rPr>
          <w:szCs w:val="20"/>
        </w:rPr>
        <w:t xml:space="preserve">ο </w:t>
      </w:r>
      <w:r w:rsidR="002F47C9" w:rsidRPr="00171EE2">
        <w:rPr>
          <w:b/>
          <w:szCs w:val="20"/>
        </w:rPr>
        <w:t>εμπόριο,</w:t>
      </w:r>
      <w:r w:rsidR="002F47C9" w:rsidRPr="00171EE2">
        <w:rPr>
          <w:szCs w:val="20"/>
        </w:rPr>
        <w:t xml:space="preserve"> </w:t>
      </w:r>
      <w:r w:rsidR="008D5935" w:rsidRPr="00171EE2">
        <w:rPr>
          <w:szCs w:val="20"/>
        </w:rPr>
        <w:t>φαίνεται ότι ο κλάδος</w:t>
      </w:r>
      <w:r w:rsidRPr="00171EE2">
        <w:rPr>
          <w:szCs w:val="20"/>
        </w:rPr>
        <w:t xml:space="preserve"> </w:t>
      </w:r>
      <w:r w:rsidR="008D5935" w:rsidRPr="00171EE2">
        <w:rPr>
          <w:szCs w:val="20"/>
        </w:rPr>
        <w:t>βελτίωσε τα αποτελέσματά του</w:t>
      </w:r>
      <w:r w:rsidRPr="00171EE2">
        <w:rPr>
          <w:szCs w:val="20"/>
        </w:rPr>
        <w:t xml:space="preserve"> το 2018</w:t>
      </w:r>
      <w:r w:rsidR="00CB7D5E" w:rsidRPr="00171EE2">
        <w:rPr>
          <w:szCs w:val="20"/>
        </w:rPr>
        <w:t>, καθώς</w:t>
      </w:r>
      <w:r w:rsidR="00CB7D5E" w:rsidRPr="00B262FA">
        <w:rPr>
          <w:szCs w:val="20"/>
        </w:rPr>
        <w:t xml:space="preserve"> διαπιστώνεται αύξηση του κύκλου εργασιών και διεύρυνση της κερδοφορίας. Συγκεκριμένα, </w:t>
      </w:r>
      <w:r w:rsidR="008A597A" w:rsidRPr="00B262FA">
        <w:rPr>
          <w:szCs w:val="20"/>
        </w:rPr>
        <w:t>ο κύκλος εργασιών</w:t>
      </w:r>
      <w:r w:rsidR="008D5935" w:rsidRPr="00B262FA">
        <w:rPr>
          <w:szCs w:val="20"/>
        </w:rPr>
        <w:t xml:space="preserve"> των</w:t>
      </w:r>
      <w:r w:rsidR="00CB7D5E" w:rsidRPr="00B262FA">
        <w:rPr>
          <w:szCs w:val="20"/>
        </w:rPr>
        <w:t xml:space="preserve"> 5.883</w:t>
      </w:r>
      <w:r w:rsidR="008D5935" w:rsidRPr="00B262FA">
        <w:rPr>
          <w:szCs w:val="20"/>
        </w:rPr>
        <w:t xml:space="preserve"> επιχειρήσεων του δείγματος</w:t>
      </w:r>
      <w:r w:rsidR="007C4BBB" w:rsidRPr="00B262FA">
        <w:rPr>
          <w:szCs w:val="20"/>
        </w:rPr>
        <w:t xml:space="preserve"> αυξήθηκε κατά</w:t>
      </w:r>
      <w:r w:rsidR="00ED6A1C" w:rsidRPr="00B262FA">
        <w:rPr>
          <w:szCs w:val="20"/>
        </w:rPr>
        <w:t xml:space="preserve"> </w:t>
      </w:r>
      <w:r w:rsidR="00CB7D5E" w:rsidRPr="00B262FA">
        <w:rPr>
          <w:szCs w:val="20"/>
        </w:rPr>
        <w:t>12,3%</w:t>
      </w:r>
      <w:r w:rsidR="007C4BBB" w:rsidRPr="00B262FA">
        <w:rPr>
          <w:szCs w:val="20"/>
        </w:rPr>
        <w:t xml:space="preserve"> τ</w:t>
      </w:r>
      <w:r w:rsidR="00847A42" w:rsidRPr="00B262FA">
        <w:rPr>
          <w:szCs w:val="20"/>
        </w:rPr>
        <w:t>ο 201</w:t>
      </w:r>
      <w:r w:rsidR="00CB7D5E" w:rsidRPr="00B262FA">
        <w:rPr>
          <w:szCs w:val="20"/>
        </w:rPr>
        <w:t>8</w:t>
      </w:r>
      <w:r w:rsidR="00847A42" w:rsidRPr="00B262FA">
        <w:rPr>
          <w:szCs w:val="20"/>
        </w:rPr>
        <w:t>, ανερχόμενος σε</w:t>
      </w:r>
      <w:r w:rsidR="00ED6A1C" w:rsidRPr="00B262FA">
        <w:rPr>
          <w:szCs w:val="20"/>
        </w:rPr>
        <w:t xml:space="preserve"> €</w:t>
      </w:r>
      <w:r w:rsidR="0042039B" w:rsidRPr="00B262FA">
        <w:rPr>
          <w:szCs w:val="20"/>
        </w:rPr>
        <w:t>59,</w:t>
      </w:r>
      <w:r w:rsidR="000271EB">
        <w:rPr>
          <w:szCs w:val="20"/>
        </w:rPr>
        <w:t>5</w:t>
      </w:r>
      <w:r w:rsidR="00847A42" w:rsidRPr="00B262FA">
        <w:rPr>
          <w:szCs w:val="20"/>
        </w:rPr>
        <w:t xml:space="preserve"> δισ</w:t>
      </w:r>
      <w:r w:rsidR="007C4BBB" w:rsidRPr="00B262FA">
        <w:rPr>
          <w:szCs w:val="20"/>
        </w:rPr>
        <w:t>.</w:t>
      </w:r>
      <w:r w:rsidR="0042039B" w:rsidRPr="00B262FA">
        <w:rPr>
          <w:szCs w:val="20"/>
        </w:rPr>
        <w:t xml:space="preserve">, ενώ με ελαφρώς </w:t>
      </w:r>
      <w:r w:rsidR="00ED6A1C" w:rsidRPr="00B262FA">
        <w:rPr>
          <w:szCs w:val="20"/>
        </w:rPr>
        <w:t>χαμηλότερο ρυθμό (</w:t>
      </w:r>
      <w:r w:rsidR="0042039B" w:rsidRPr="00B262FA">
        <w:rPr>
          <w:szCs w:val="20"/>
        </w:rPr>
        <w:t>10,</w:t>
      </w:r>
      <w:r w:rsidR="00096811">
        <w:rPr>
          <w:szCs w:val="20"/>
        </w:rPr>
        <w:t>4</w:t>
      </w:r>
      <w:r w:rsidR="0042039B" w:rsidRPr="00B262FA">
        <w:rPr>
          <w:szCs w:val="20"/>
        </w:rPr>
        <w:t>%</w:t>
      </w:r>
      <w:r w:rsidR="00ED6A1C" w:rsidRPr="00B262FA">
        <w:rPr>
          <w:szCs w:val="20"/>
        </w:rPr>
        <w:t>)</w:t>
      </w:r>
      <w:r w:rsidR="007C4BBB" w:rsidRPr="00B262FA">
        <w:rPr>
          <w:szCs w:val="20"/>
        </w:rPr>
        <w:t xml:space="preserve"> αυξήθηκαν τα μεικτά κέρδη</w:t>
      </w:r>
      <w:r w:rsidR="004A6451" w:rsidRPr="00B262FA">
        <w:rPr>
          <w:szCs w:val="20"/>
        </w:rPr>
        <w:t>.</w:t>
      </w:r>
      <w:r w:rsidR="0042039B" w:rsidRPr="00B262FA">
        <w:rPr>
          <w:szCs w:val="20"/>
        </w:rPr>
        <w:t xml:space="preserve"> Ο κλάδος βελτίωσε τα λειτουργικά του αποτελέσματα κατά 7,</w:t>
      </w:r>
      <w:r w:rsidR="00096811">
        <w:rPr>
          <w:szCs w:val="20"/>
        </w:rPr>
        <w:t>6</w:t>
      </w:r>
      <w:r w:rsidR="0042039B" w:rsidRPr="00B262FA">
        <w:rPr>
          <w:szCs w:val="20"/>
        </w:rPr>
        <w:t>% το 2018/2017 παρά την αύξηση των λειτουργικών δαπανών κατά 9,0%. Το τελικό καθαρό αποτέλεσμα ήταν κερδοφόρο</w:t>
      </w:r>
      <w:r w:rsidR="00096811">
        <w:rPr>
          <w:szCs w:val="20"/>
        </w:rPr>
        <w:t xml:space="preserve"> και τα δύο έτη,</w:t>
      </w:r>
      <w:r w:rsidR="0042039B" w:rsidRPr="00B262FA">
        <w:rPr>
          <w:szCs w:val="20"/>
        </w:rPr>
        <w:t xml:space="preserve"> αυξημένο μάλιστα κατά 12,0%</w:t>
      </w:r>
      <w:r w:rsidR="00096811">
        <w:rPr>
          <w:szCs w:val="20"/>
        </w:rPr>
        <w:t xml:space="preserve"> το 2018</w:t>
      </w:r>
      <w:r w:rsidR="00C353A8">
        <w:rPr>
          <w:szCs w:val="20"/>
        </w:rPr>
        <w:t>,</w:t>
      </w:r>
      <w:r w:rsidR="00096811">
        <w:rPr>
          <w:szCs w:val="20"/>
        </w:rPr>
        <w:t xml:space="preserve"> </w:t>
      </w:r>
      <w:r w:rsidR="00F13AB9">
        <w:rPr>
          <w:szCs w:val="20"/>
        </w:rPr>
        <w:t>λόγω και της ευνοϊκής διαμόρφωσης του μη λειτουργικού αποτελέσματος.</w:t>
      </w:r>
      <w:r w:rsidR="0042039B" w:rsidRPr="00B262FA">
        <w:rPr>
          <w:szCs w:val="20"/>
        </w:rPr>
        <w:t xml:space="preserve"> </w:t>
      </w:r>
    </w:p>
    <w:p w14:paraId="1E742FAA" w14:textId="77777777" w:rsidR="00D9482F" w:rsidRPr="00B262FA" w:rsidRDefault="00666805" w:rsidP="00B96C69">
      <w:pPr>
        <w:suppressAutoHyphens/>
        <w:spacing w:line="360" w:lineRule="auto"/>
        <w:ind w:firstLine="720"/>
        <w:rPr>
          <w:szCs w:val="20"/>
        </w:rPr>
      </w:pPr>
      <w:r w:rsidRPr="00B262FA">
        <w:rPr>
          <w:szCs w:val="20"/>
        </w:rPr>
        <w:t xml:space="preserve">Από πλευράς </w:t>
      </w:r>
      <w:r w:rsidR="00A61B70" w:rsidRPr="00B262FA">
        <w:rPr>
          <w:szCs w:val="20"/>
        </w:rPr>
        <w:t xml:space="preserve">μεγεθών </w:t>
      </w:r>
      <w:r w:rsidRPr="00B262FA">
        <w:rPr>
          <w:szCs w:val="20"/>
        </w:rPr>
        <w:t>ισολογισμού, τα συνολικά κεφάλαια</w:t>
      </w:r>
      <w:r w:rsidR="00104CF4" w:rsidRPr="00B262FA">
        <w:rPr>
          <w:szCs w:val="20"/>
        </w:rPr>
        <w:t xml:space="preserve"> του εμπορίου</w:t>
      </w:r>
      <w:r w:rsidRPr="00B262FA">
        <w:rPr>
          <w:szCs w:val="20"/>
        </w:rPr>
        <w:t xml:space="preserve"> </w:t>
      </w:r>
      <w:r w:rsidR="00ED16F0" w:rsidRPr="00B262FA">
        <w:rPr>
          <w:szCs w:val="20"/>
        </w:rPr>
        <w:t>αυξήθηκαν</w:t>
      </w:r>
      <w:r w:rsidR="00D9482F" w:rsidRPr="00B262FA">
        <w:rPr>
          <w:szCs w:val="20"/>
        </w:rPr>
        <w:t xml:space="preserve"> κατά 6,</w:t>
      </w:r>
      <w:r w:rsidR="00096811">
        <w:rPr>
          <w:szCs w:val="20"/>
        </w:rPr>
        <w:t>9</w:t>
      </w:r>
      <w:r w:rsidR="00D9482F" w:rsidRPr="00B262FA">
        <w:rPr>
          <w:szCs w:val="20"/>
        </w:rPr>
        <w:t>%</w:t>
      </w:r>
      <w:r w:rsidRPr="00B262FA">
        <w:rPr>
          <w:szCs w:val="20"/>
        </w:rPr>
        <w:t xml:space="preserve"> </w:t>
      </w:r>
      <w:r w:rsidR="009E2A6F" w:rsidRPr="00B262FA">
        <w:rPr>
          <w:szCs w:val="20"/>
        </w:rPr>
        <w:t xml:space="preserve">ανερχόμενα </w:t>
      </w:r>
      <w:r w:rsidR="00ED16F0" w:rsidRPr="00B262FA">
        <w:rPr>
          <w:szCs w:val="20"/>
        </w:rPr>
        <w:t>σε</w:t>
      </w:r>
      <w:r w:rsidR="00CC4045" w:rsidRPr="00B262FA">
        <w:rPr>
          <w:szCs w:val="20"/>
        </w:rPr>
        <w:t xml:space="preserve"> €</w:t>
      </w:r>
      <w:r w:rsidR="00D9482F" w:rsidRPr="00B262FA">
        <w:rPr>
          <w:szCs w:val="20"/>
        </w:rPr>
        <w:t>37,3</w:t>
      </w:r>
      <w:r w:rsidRPr="00B262FA">
        <w:rPr>
          <w:szCs w:val="20"/>
        </w:rPr>
        <w:t xml:space="preserve"> δισ.</w:t>
      </w:r>
      <w:r w:rsidR="00B262FA" w:rsidRPr="00B262FA">
        <w:rPr>
          <w:szCs w:val="20"/>
        </w:rPr>
        <w:t xml:space="preserve"> </w:t>
      </w:r>
      <w:r w:rsidR="00345C79" w:rsidRPr="00B262FA">
        <w:rPr>
          <w:szCs w:val="20"/>
        </w:rPr>
        <w:t>Παράλληλα,</w:t>
      </w:r>
      <w:r w:rsidR="00ED16F0" w:rsidRPr="00B262FA">
        <w:rPr>
          <w:szCs w:val="20"/>
        </w:rPr>
        <w:t xml:space="preserve"> τα ίδια κεφάλαια</w:t>
      </w:r>
      <w:r w:rsidR="00D9482F" w:rsidRPr="00B262FA">
        <w:rPr>
          <w:szCs w:val="20"/>
        </w:rPr>
        <w:t xml:space="preserve"> ενισχύθηκαν</w:t>
      </w:r>
      <w:r w:rsidR="00ED16F0" w:rsidRPr="00B262FA">
        <w:rPr>
          <w:szCs w:val="20"/>
        </w:rPr>
        <w:t xml:space="preserve"> κατά</w:t>
      </w:r>
      <w:r w:rsidR="00D9482F" w:rsidRPr="00B262FA">
        <w:rPr>
          <w:szCs w:val="20"/>
        </w:rPr>
        <w:t xml:space="preserve"> </w:t>
      </w:r>
      <w:r w:rsidR="00096811">
        <w:rPr>
          <w:szCs w:val="20"/>
        </w:rPr>
        <w:t xml:space="preserve">4% περίπου, </w:t>
      </w:r>
      <w:r w:rsidR="00ED16F0" w:rsidRPr="00B262FA">
        <w:rPr>
          <w:szCs w:val="20"/>
        </w:rPr>
        <w:t>ενώ οι συνολικές υποχρεώσεις</w:t>
      </w:r>
      <w:r w:rsidRPr="00B262FA">
        <w:rPr>
          <w:szCs w:val="20"/>
        </w:rPr>
        <w:t xml:space="preserve"> </w:t>
      </w:r>
      <w:r w:rsidR="009E2A6F" w:rsidRPr="00B262FA">
        <w:rPr>
          <w:szCs w:val="20"/>
        </w:rPr>
        <w:t>διευρύνθηκαν</w:t>
      </w:r>
      <w:r w:rsidR="00ED16F0" w:rsidRPr="00B262FA">
        <w:rPr>
          <w:szCs w:val="20"/>
        </w:rPr>
        <w:t xml:space="preserve"> κατά</w:t>
      </w:r>
      <w:r w:rsidR="00D9482F" w:rsidRPr="00B262FA">
        <w:rPr>
          <w:szCs w:val="20"/>
        </w:rPr>
        <w:t xml:space="preserve"> 8,5%. </w:t>
      </w:r>
    </w:p>
    <w:p w14:paraId="6A554D7E" w14:textId="77777777" w:rsidR="00D9482F" w:rsidRPr="00B262FA" w:rsidRDefault="00FC3E86" w:rsidP="00C34992">
      <w:pPr>
        <w:suppressAutoHyphens/>
        <w:spacing w:line="360" w:lineRule="auto"/>
        <w:rPr>
          <w:szCs w:val="20"/>
        </w:rPr>
      </w:pPr>
      <w:r w:rsidRPr="00B262FA">
        <w:rPr>
          <w:szCs w:val="20"/>
        </w:rPr>
        <w:t>Το περιθώριο μ</w:t>
      </w:r>
      <w:r w:rsidR="002E471E" w:rsidRPr="00B262FA">
        <w:rPr>
          <w:szCs w:val="20"/>
        </w:rPr>
        <w:t>ει</w:t>
      </w:r>
      <w:r w:rsidRPr="00B262FA">
        <w:rPr>
          <w:szCs w:val="20"/>
        </w:rPr>
        <w:t>κτού κέρδους περιορίστηκε</w:t>
      </w:r>
      <w:r w:rsidR="00D9482F" w:rsidRPr="00B262FA">
        <w:rPr>
          <w:szCs w:val="20"/>
        </w:rPr>
        <w:t xml:space="preserve"> οριακά</w:t>
      </w:r>
      <w:r w:rsidRPr="00B262FA">
        <w:rPr>
          <w:szCs w:val="20"/>
        </w:rPr>
        <w:t xml:space="preserve"> κατά</w:t>
      </w:r>
      <w:r w:rsidR="00D9482F" w:rsidRPr="00B262FA">
        <w:rPr>
          <w:szCs w:val="20"/>
        </w:rPr>
        <w:t xml:space="preserve"> 0,34</w:t>
      </w:r>
      <w:r w:rsidRPr="00B262FA">
        <w:rPr>
          <w:szCs w:val="20"/>
        </w:rPr>
        <w:t xml:space="preserve"> ποσοστιαίες μονάδες, ενώ</w:t>
      </w:r>
      <w:r w:rsidR="00D9482F" w:rsidRPr="00B262FA">
        <w:rPr>
          <w:szCs w:val="20"/>
        </w:rPr>
        <w:t xml:space="preserve"> ο δείκτης του περιθωρίου καθαρού κέρδους δεν παρουσίασε αξιόλογη μεταβολή. Η </w:t>
      </w:r>
      <w:r w:rsidR="00FC77B4" w:rsidRPr="00B262FA">
        <w:rPr>
          <w:szCs w:val="20"/>
        </w:rPr>
        <w:t>αποδοτικότητα</w:t>
      </w:r>
      <w:r w:rsidR="00D9482F" w:rsidRPr="00B262FA">
        <w:rPr>
          <w:szCs w:val="20"/>
        </w:rPr>
        <w:t xml:space="preserve"> </w:t>
      </w:r>
      <w:r w:rsidR="00FC77B4" w:rsidRPr="00B262FA">
        <w:rPr>
          <w:szCs w:val="20"/>
        </w:rPr>
        <w:t>ιδίων κεφαλαίων</w:t>
      </w:r>
      <w:r w:rsidR="00D9482F" w:rsidRPr="00B262FA">
        <w:rPr>
          <w:szCs w:val="20"/>
        </w:rPr>
        <w:t xml:space="preserve"> ενισχύθηκε οριακά κατά 0,79 ποσοστιαίες μονάδες. </w:t>
      </w:r>
    </w:p>
    <w:p w14:paraId="658AD893" w14:textId="77777777" w:rsidR="00CF3B16" w:rsidRDefault="00CF3B16" w:rsidP="00862C87">
      <w:pPr>
        <w:suppressAutoHyphens/>
        <w:spacing w:line="360" w:lineRule="auto"/>
        <w:rPr>
          <w:szCs w:val="20"/>
          <w:highlight w:val="yellow"/>
        </w:rPr>
      </w:pPr>
    </w:p>
    <w:p w14:paraId="1AA37EA2" w14:textId="77777777" w:rsidR="00F32C19" w:rsidRPr="003437BC" w:rsidRDefault="00FF08FD" w:rsidP="00B96C69">
      <w:pPr>
        <w:suppressAutoHyphens/>
        <w:spacing w:line="360" w:lineRule="auto"/>
        <w:ind w:firstLine="720"/>
        <w:rPr>
          <w:szCs w:val="20"/>
        </w:rPr>
      </w:pPr>
      <w:r w:rsidRPr="003437BC">
        <w:rPr>
          <w:szCs w:val="20"/>
        </w:rPr>
        <w:t xml:space="preserve">Ο κλάδος των </w:t>
      </w:r>
      <w:r w:rsidR="002F47C9" w:rsidRPr="003437BC">
        <w:rPr>
          <w:b/>
          <w:szCs w:val="20"/>
        </w:rPr>
        <w:t>ξενοδοχείων-εστιατορίων</w:t>
      </w:r>
      <w:r w:rsidRPr="003437BC">
        <w:rPr>
          <w:b/>
          <w:szCs w:val="20"/>
        </w:rPr>
        <w:t xml:space="preserve"> </w:t>
      </w:r>
      <w:r w:rsidRPr="003437BC">
        <w:rPr>
          <w:bCs/>
          <w:szCs w:val="20"/>
        </w:rPr>
        <w:t>παρουσίασε</w:t>
      </w:r>
      <w:r w:rsidRPr="003437BC">
        <w:rPr>
          <w:szCs w:val="20"/>
        </w:rPr>
        <w:t xml:space="preserve"> αύξηση στον</w:t>
      </w:r>
      <w:r w:rsidR="00917BD4" w:rsidRPr="003437BC">
        <w:rPr>
          <w:szCs w:val="20"/>
        </w:rPr>
        <w:t xml:space="preserve"> κύκλο εργασιών του, αλλά μείωση της κερδοφορίας του. </w:t>
      </w:r>
      <w:r w:rsidR="002F47C9" w:rsidRPr="003437BC">
        <w:rPr>
          <w:szCs w:val="20"/>
        </w:rPr>
        <w:t xml:space="preserve">Συγκεκριμένα, </w:t>
      </w:r>
      <w:r w:rsidR="00917BD4" w:rsidRPr="003437BC">
        <w:rPr>
          <w:szCs w:val="20"/>
        </w:rPr>
        <w:t xml:space="preserve">ο συνολικός κύκλος εργασιών 1.169 </w:t>
      </w:r>
      <w:r w:rsidR="002F47C9" w:rsidRPr="003437BC">
        <w:rPr>
          <w:szCs w:val="20"/>
        </w:rPr>
        <w:t xml:space="preserve">επιχειρήσεων </w:t>
      </w:r>
      <w:r w:rsidR="00917BD4" w:rsidRPr="003437BC">
        <w:rPr>
          <w:szCs w:val="20"/>
        </w:rPr>
        <w:t xml:space="preserve">του κλάδου αυξήθηκε κατά </w:t>
      </w:r>
      <w:r w:rsidR="00096811">
        <w:rPr>
          <w:szCs w:val="20"/>
        </w:rPr>
        <w:t>12,0%</w:t>
      </w:r>
      <w:r w:rsidR="00917BD4" w:rsidRPr="003437BC">
        <w:rPr>
          <w:szCs w:val="20"/>
        </w:rPr>
        <w:t xml:space="preserve"> το 2018 σε σχέση με το 2017 και διαμορφώθηκε σε €3,2 δισ. </w:t>
      </w:r>
      <w:r w:rsidR="00BE3EDE" w:rsidRPr="003437BC">
        <w:rPr>
          <w:szCs w:val="20"/>
        </w:rPr>
        <w:t>Τα αντίστοιχα μ</w:t>
      </w:r>
      <w:r w:rsidR="0081637C" w:rsidRPr="003437BC">
        <w:rPr>
          <w:szCs w:val="20"/>
        </w:rPr>
        <w:t>ε</w:t>
      </w:r>
      <w:r w:rsidR="00BE3EDE" w:rsidRPr="003437BC">
        <w:rPr>
          <w:szCs w:val="20"/>
        </w:rPr>
        <w:t>ικτά κέρδη</w:t>
      </w:r>
      <w:r w:rsidR="002F47C9" w:rsidRPr="003437BC">
        <w:rPr>
          <w:szCs w:val="20"/>
        </w:rPr>
        <w:t xml:space="preserve"> </w:t>
      </w:r>
      <w:r w:rsidR="00257ABC" w:rsidRPr="003437BC">
        <w:rPr>
          <w:szCs w:val="20"/>
        </w:rPr>
        <w:t>αυξήθηκαν με</w:t>
      </w:r>
      <w:r w:rsidR="003A084D" w:rsidRPr="003437BC">
        <w:rPr>
          <w:szCs w:val="20"/>
        </w:rPr>
        <w:t xml:space="preserve"> υψηλότερο ρυθμό </w:t>
      </w:r>
      <w:r w:rsidR="00BE3EDE" w:rsidRPr="003437BC">
        <w:rPr>
          <w:szCs w:val="20"/>
        </w:rPr>
        <w:t>(</w:t>
      </w:r>
      <w:r w:rsidR="00917BD4" w:rsidRPr="003437BC">
        <w:rPr>
          <w:szCs w:val="20"/>
        </w:rPr>
        <w:t>13,9%</w:t>
      </w:r>
      <w:r w:rsidR="00BE3EDE" w:rsidRPr="003437BC">
        <w:rPr>
          <w:szCs w:val="20"/>
        </w:rPr>
        <w:t>)</w:t>
      </w:r>
      <w:r w:rsidR="00141B79" w:rsidRPr="003437BC">
        <w:rPr>
          <w:szCs w:val="20"/>
        </w:rPr>
        <w:t>,</w:t>
      </w:r>
      <w:r w:rsidR="00BE3EDE" w:rsidRPr="003437BC">
        <w:rPr>
          <w:szCs w:val="20"/>
        </w:rPr>
        <w:t xml:space="preserve"> στοιχείο</w:t>
      </w:r>
      <w:r w:rsidR="00E978B1" w:rsidRPr="003437BC">
        <w:rPr>
          <w:szCs w:val="20"/>
        </w:rPr>
        <w:t xml:space="preserve"> ενδεικτικό περικοπής του κόστους</w:t>
      </w:r>
      <w:r w:rsidR="00257ABC" w:rsidRPr="003437BC">
        <w:rPr>
          <w:szCs w:val="20"/>
        </w:rPr>
        <w:t>.</w:t>
      </w:r>
      <w:r w:rsidR="00497766" w:rsidRPr="003437BC">
        <w:rPr>
          <w:szCs w:val="20"/>
        </w:rPr>
        <w:t xml:space="preserve"> </w:t>
      </w:r>
      <w:r w:rsidR="00E147EE" w:rsidRPr="003437BC">
        <w:rPr>
          <w:szCs w:val="20"/>
        </w:rPr>
        <w:t xml:space="preserve">Η </w:t>
      </w:r>
      <w:r w:rsidR="003437BC" w:rsidRPr="003437BC">
        <w:rPr>
          <w:szCs w:val="20"/>
        </w:rPr>
        <w:t>μεταβολή</w:t>
      </w:r>
      <w:r w:rsidR="00E147EE" w:rsidRPr="003437BC">
        <w:rPr>
          <w:szCs w:val="20"/>
        </w:rPr>
        <w:t xml:space="preserve"> αυτή</w:t>
      </w:r>
      <w:r w:rsidR="00E82FEB">
        <w:rPr>
          <w:szCs w:val="20"/>
        </w:rPr>
        <w:t>,</w:t>
      </w:r>
      <w:r w:rsidR="00E147EE" w:rsidRPr="003437BC">
        <w:rPr>
          <w:szCs w:val="20"/>
        </w:rPr>
        <w:t xml:space="preserve"> σε συνδυασμό με τη</w:t>
      </w:r>
      <w:r w:rsidR="00124FD2">
        <w:rPr>
          <w:szCs w:val="20"/>
        </w:rPr>
        <w:t xml:space="preserve"> </w:t>
      </w:r>
      <w:r w:rsidR="00124FD2" w:rsidRPr="00124FD2">
        <w:rPr>
          <w:szCs w:val="20"/>
        </w:rPr>
        <w:t>βελτίωση των λειτουργικών εσόδων</w:t>
      </w:r>
      <w:r w:rsidR="00124FD2">
        <w:rPr>
          <w:szCs w:val="20"/>
        </w:rPr>
        <w:t xml:space="preserve"> κατά 14,2%</w:t>
      </w:r>
      <w:r w:rsidR="00E82FEB">
        <w:rPr>
          <w:szCs w:val="20"/>
        </w:rPr>
        <w:t>,</w:t>
      </w:r>
      <w:r w:rsidR="00124FD2">
        <w:rPr>
          <w:szCs w:val="20"/>
        </w:rPr>
        <w:t xml:space="preserve"> </w:t>
      </w:r>
      <w:r w:rsidR="00E147EE" w:rsidRPr="003437BC">
        <w:rPr>
          <w:szCs w:val="20"/>
        </w:rPr>
        <w:t xml:space="preserve">οδήγησαν </w:t>
      </w:r>
      <w:r w:rsidR="00124FD2">
        <w:rPr>
          <w:szCs w:val="20"/>
        </w:rPr>
        <w:t xml:space="preserve">τελικά </w:t>
      </w:r>
      <w:r w:rsidR="00E147EE" w:rsidRPr="003437BC">
        <w:rPr>
          <w:szCs w:val="20"/>
        </w:rPr>
        <w:t>στην αύξηση των συνολικών λειτουργικών αποτελεσμάτων κατά 38,8%</w:t>
      </w:r>
      <w:r w:rsidR="00124FD2">
        <w:t xml:space="preserve">, παρά την άνοδο </w:t>
      </w:r>
      <w:r w:rsidR="00124FD2" w:rsidRPr="00124FD2">
        <w:rPr>
          <w:szCs w:val="20"/>
        </w:rPr>
        <w:t>των λειτουργικών δαπανών και των χρηματοοικονομικών εξόδων</w:t>
      </w:r>
      <w:r w:rsidR="00E147EE" w:rsidRPr="003437BC">
        <w:rPr>
          <w:szCs w:val="20"/>
        </w:rPr>
        <w:t xml:space="preserve">. </w:t>
      </w:r>
      <w:r w:rsidR="00F32C19" w:rsidRPr="003437BC">
        <w:rPr>
          <w:szCs w:val="20"/>
        </w:rPr>
        <w:t>Από την άλλη πλευρά όμως, η διαμόρφωση</w:t>
      </w:r>
      <w:r w:rsidR="00E147EE" w:rsidRPr="003437BC">
        <w:rPr>
          <w:szCs w:val="20"/>
        </w:rPr>
        <w:t xml:space="preserve"> αρνητικού</w:t>
      </w:r>
      <w:r w:rsidR="00F32C19" w:rsidRPr="003437BC">
        <w:rPr>
          <w:szCs w:val="20"/>
        </w:rPr>
        <w:t xml:space="preserve"> μη λειτουργικού αποτελέσματος</w:t>
      </w:r>
      <w:r w:rsidR="003437BC" w:rsidRPr="003437BC">
        <w:rPr>
          <w:szCs w:val="20"/>
        </w:rPr>
        <w:t xml:space="preserve"> το 2018</w:t>
      </w:r>
      <w:r w:rsidR="00096811">
        <w:rPr>
          <w:szCs w:val="20"/>
        </w:rPr>
        <w:t xml:space="preserve"> (από θετικό το 2017)</w:t>
      </w:r>
      <w:r w:rsidR="00F32C19" w:rsidRPr="003437BC">
        <w:rPr>
          <w:szCs w:val="20"/>
        </w:rPr>
        <w:t xml:space="preserve"> οδήγησε</w:t>
      </w:r>
      <w:r w:rsidR="00E147EE" w:rsidRPr="003437BC">
        <w:rPr>
          <w:szCs w:val="20"/>
        </w:rPr>
        <w:t xml:space="preserve"> στη μείωση </w:t>
      </w:r>
      <w:r w:rsidR="00F32C19" w:rsidRPr="003437BC">
        <w:rPr>
          <w:szCs w:val="20"/>
        </w:rPr>
        <w:t>της κερδοφορίας των επιχειρήσεων του κλάδου κατά</w:t>
      </w:r>
      <w:r w:rsidR="00E147EE" w:rsidRPr="003437BC">
        <w:rPr>
          <w:szCs w:val="20"/>
        </w:rPr>
        <w:t xml:space="preserve"> 5,</w:t>
      </w:r>
      <w:r w:rsidR="00096811">
        <w:rPr>
          <w:szCs w:val="20"/>
        </w:rPr>
        <w:t>8</w:t>
      </w:r>
      <w:r w:rsidR="00E147EE" w:rsidRPr="003437BC">
        <w:rPr>
          <w:szCs w:val="20"/>
        </w:rPr>
        <w:t xml:space="preserve">% </w:t>
      </w:r>
      <w:r w:rsidR="00F32C19" w:rsidRPr="003437BC">
        <w:rPr>
          <w:szCs w:val="20"/>
        </w:rPr>
        <w:t>το 201</w:t>
      </w:r>
      <w:r w:rsidR="00E147EE" w:rsidRPr="003437BC">
        <w:rPr>
          <w:szCs w:val="20"/>
        </w:rPr>
        <w:t>8</w:t>
      </w:r>
      <w:r w:rsidR="00F32C19" w:rsidRPr="003437BC">
        <w:rPr>
          <w:szCs w:val="20"/>
        </w:rPr>
        <w:t>/201</w:t>
      </w:r>
      <w:r w:rsidR="00E147EE" w:rsidRPr="003437BC">
        <w:rPr>
          <w:szCs w:val="20"/>
        </w:rPr>
        <w:t>7</w:t>
      </w:r>
      <w:r w:rsidR="00F32C19" w:rsidRPr="003437BC">
        <w:rPr>
          <w:szCs w:val="20"/>
        </w:rPr>
        <w:t>. Τα καθαρά (προ φόρου) κέρδη διαμορφώθηκαν σε €</w:t>
      </w:r>
      <w:r w:rsidR="00E147EE" w:rsidRPr="003437BC">
        <w:rPr>
          <w:szCs w:val="20"/>
        </w:rPr>
        <w:t>236,7</w:t>
      </w:r>
      <w:r w:rsidR="00F32C19" w:rsidRPr="003437BC">
        <w:rPr>
          <w:szCs w:val="20"/>
        </w:rPr>
        <w:t xml:space="preserve"> εκ. το 201</w:t>
      </w:r>
      <w:r w:rsidR="00E147EE" w:rsidRPr="003437BC">
        <w:rPr>
          <w:szCs w:val="20"/>
        </w:rPr>
        <w:t>8</w:t>
      </w:r>
      <w:r w:rsidR="003437BC" w:rsidRPr="003437BC">
        <w:rPr>
          <w:szCs w:val="20"/>
        </w:rPr>
        <w:t xml:space="preserve"> </w:t>
      </w:r>
      <w:r w:rsidR="00F32C19" w:rsidRPr="003437BC">
        <w:rPr>
          <w:szCs w:val="20"/>
        </w:rPr>
        <w:t>από €</w:t>
      </w:r>
      <w:r w:rsidR="00E147EE" w:rsidRPr="003437BC">
        <w:rPr>
          <w:szCs w:val="20"/>
        </w:rPr>
        <w:t>251,2</w:t>
      </w:r>
      <w:r w:rsidR="00F32C19" w:rsidRPr="003437BC">
        <w:rPr>
          <w:szCs w:val="20"/>
        </w:rPr>
        <w:t xml:space="preserve"> εκ. το 201</w:t>
      </w:r>
      <w:r w:rsidR="00E147EE" w:rsidRPr="003437BC">
        <w:rPr>
          <w:szCs w:val="20"/>
        </w:rPr>
        <w:t>7</w:t>
      </w:r>
      <w:r w:rsidR="00CD7E52" w:rsidRPr="003437BC">
        <w:rPr>
          <w:szCs w:val="20"/>
        </w:rPr>
        <w:t>.</w:t>
      </w:r>
      <w:r w:rsidR="00F32C19" w:rsidRPr="003437BC">
        <w:rPr>
          <w:szCs w:val="20"/>
        </w:rPr>
        <w:t xml:space="preserve"> </w:t>
      </w:r>
    </w:p>
    <w:p w14:paraId="0D3DD0AA" w14:textId="77777777" w:rsidR="00096811" w:rsidRDefault="00096811" w:rsidP="00862C87">
      <w:pPr>
        <w:suppressAutoHyphens/>
        <w:spacing w:line="360" w:lineRule="auto"/>
        <w:rPr>
          <w:szCs w:val="20"/>
        </w:rPr>
      </w:pPr>
    </w:p>
    <w:p w14:paraId="177ACBFF" w14:textId="77777777" w:rsidR="006668BA" w:rsidRPr="003437BC" w:rsidRDefault="003437BC" w:rsidP="00B96C69">
      <w:pPr>
        <w:suppressAutoHyphens/>
        <w:spacing w:line="360" w:lineRule="auto"/>
        <w:ind w:firstLine="720"/>
        <w:rPr>
          <w:szCs w:val="20"/>
        </w:rPr>
      </w:pPr>
      <w:r w:rsidRPr="003437BC">
        <w:rPr>
          <w:szCs w:val="20"/>
        </w:rPr>
        <w:t>Αναφορικά</w:t>
      </w:r>
      <w:r w:rsidR="005823B2" w:rsidRPr="003437BC">
        <w:rPr>
          <w:szCs w:val="20"/>
        </w:rPr>
        <w:t xml:space="preserve"> με βασικούς λογαριασμούς του ισολογισμού</w:t>
      </w:r>
      <w:r w:rsidRPr="003437BC">
        <w:rPr>
          <w:szCs w:val="20"/>
        </w:rPr>
        <w:t>, τα συνολικά κεφάλαια</w:t>
      </w:r>
      <w:r w:rsidR="002F47C9" w:rsidRPr="003437BC">
        <w:rPr>
          <w:szCs w:val="20"/>
        </w:rPr>
        <w:t xml:space="preserve"> του κλάδου </w:t>
      </w:r>
      <w:r w:rsidR="003C3EA8" w:rsidRPr="003437BC">
        <w:rPr>
          <w:szCs w:val="20"/>
        </w:rPr>
        <w:t>αυξήθηκ</w:t>
      </w:r>
      <w:r w:rsidRPr="003437BC">
        <w:rPr>
          <w:szCs w:val="20"/>
        </w:rPr>
        <w:t>αν</w:t>
      </w:r>
      <w:r w:rsidR="006670A7" w:rsidRPr="003437BC">
        <w:rPr>
          <w:szCs w:val="20"/>
        </w:rPr>
        <w:t xml:space="preserve"> κατά</w:t>
      </w:r>
      <w:r w:rsidR="005823B2" w:rsidRPr="003437BC">
        <w:rPr>
          <w:szCs w:val="20"/>
        </w:rPr>
        <w:t xml:space="preserve"> 5,8%</w:t>
      </w:r>
      <w:r w:rsidR="002F47C9" w:rsidRPr="003437BC">
        <w:rPr>
          <w:szCs w:val="20"/>
        </w:rPr>
        <w:t xml:space="preserve"> ανερχόμεν</w:t>
      </w:r>
      <w:r w:rsidRPr="003437BC">
        <w:rPr>
          <w:szCs w:val="20"/>
        </w:rPr>
        <w:t>α</w:t>
      </w:r>
      <w:r w:rsidR="002F47C9" w:rsidRPr="003437BC">
        <w:rPr>
          <w:szCs w:val="20"/>
        </w:rPr>
        <w:t xml:space="preserve"> σε </w:t>
      </w:r>
      <w:r w:rsidR="006670A7" w:rsidRPr="003437BC">
        <w:rPr>
          <w:szCs w:val="20"/>
        </w:rPr>
        <w:t>€</w:t>
      </w:r>
      <w:r w:rsidR="005823B2" w:rsidRPr="003437BC">
        <w:rPr>
          <w:szCs w:val="20"/>
        </w:rPr>
        <w:t>11,1</w:t>
      </w:r>
      <w:r w:rsidR="002F47C9" w:rsidRPr="003437BC">
        <w:rPr>
          <w:szCs w:val="20"/>
        </w:rPr>
        <w:t xml:space="preserve"> δισ. </w:t>
      </w:r>
      <w:r w:rsidR="00EC6C3F" w:rsidRPr="003437BC">
        <w:rPr>
          <w:szCs w:val="20"/>
        </w:rPr>
        <w:t>το</w:t>
      </w:r>
      <w:r w:rsidR="003C3EA8" w:rsidRPr="003437BC">
        <w:rPr>
          <w:szCs w:val="20"/>
        </w:rPr>
        <w:t xml:space="preserve"> 201</w:t>
      </w:r>
      <w:r w:rsidR="005823B2" w:rsidRPr="003437BC">
        <w:rPr>
          <w:szCs w:val="20"/>
        </w:rPr>
        <w:t>8</w:t>
      </w:r>
      <w:r w:rsidR="003C3EA8" w:rsidRPr="003437BC">
        <w:rPr>
          <w:szCs w:val="20"/>
        </w:rPr>
        <w:t xml:space="preserve">, </w:t>
      </w:r>
      <w:r w:rsidR="00EC6C3F" w:rsidRPr="003437BC">
        <w:rPr>
          <w:szCs w:val="20"/>
        </w:rPr>
        <w:t xml:space="preserve">ενώ </w:t>
      </w:r>
      <w:r w:rsidR="006670A7" w:rsidRPr="003437BC">
        <w:rPr>
          <w:szCs w:val="20"/>
        </w:rPr>
        <w:t>μικρότερη</w:t>
      </w:r>
      <w:r w:rsidR="00F03AF5" w:rsidRPr="003437BC">
        <w:rPr>
          <w:szCs w:val="20"/>
        </w:rPr>
        <w:t xml:space="preserve"> αύξηση (</w:t>
      </w:r>
      <w:r w:rsidR="005823B2" w:rsidRPr="003437BC">
        <w:rPr>
          <w:szCs w:val="20"/>
        </w:rPr>
        <w:t>2,</w:t>
      </w:r>
      <w:r w:rsidR="00096811">
        <w:rPr>
          <w:szCs w:val="20"/>
        </w:rPr>
        <w:t>8</w:t>
      </w:r>
      <w:r w:rsidR="005823B2" w:rsidRPr="003437BC">
        <w:rPr>
          <w:szCs w:val="20"/>
        </w:rPr>
        <w:t>%</w:t>
      </w:r>
      <w:r w:rsidR="006668BA" w:rsidRPr="003437BC">
        <w:rPr>
          <w:szCs w:val="20"/>
        </w:rPr>
        <w:t>)</w:t>
      </w:r>
      <w:r w:rsidR="00EF6CA5" w:rsidRPr="003437BC">
        <w:rPr>
          <w:szCs w:val="20"/>
        </w:rPr>
        <w:t xml:space="preserve"> </w:t>
      </w:r>
      <w:r w:rsidR="00335219" w:rsidRPr="003437BC">
        <w:rPr>
          <w:szCs w:val="20"/>
        </w:rPr>
        <w:t>σημείωσαν</w:t>
      </w:r>
      <w:r w:rsidR="00EF6CA5" w:rsidRPr="003437BC">
        <w:rPr>
          <w:szCs w:val="20"/>
        </w:rPr>
        <w:t xml:space="preserve"> </w:t>
      </w:r>
      <w:r w:rsidR="008D18BB" w:rsidRPr="003437BC">
        <w:rPr>
          <w:szCs w:val="20"/>
        </w:rPr>
        <w:t>τα ίδια κεφάλαια</w:t>
      </w:r>
      <w:r w:rsidR="002F47C9" w:rsidRPr="003437BC">
        <w:rPr>
          <w:szCs w:val="20"/>
        </w:rPr>
        <w:t>,</w:t>
      </w:r>
      <w:r w:rsidR="00EC6C3F" w:rsidRPr="003437BC">
        <w:rPr>
          <w:szCs w:val="20"/>
        </w:rPr>
        <w:t xml:space="preserve"> τα οποία ανήλθαν</w:t>
      </w:r>
      <w:r w:rsidR="002F47C9" w:rsidRPr="003437BC">
        <w:rPr>
          <w:szCs w:val="20"/>
        </w:rPr>
        <w:t xml:space="preserve"> σε €</w:t>
      </w:r>
      <w:r w:rsidR="005823B2" w:rsidRPr="003437BC">
        <w:rPr>
          <w:szCs w:val="20"/>
        </w:rPr>
        <w:t>5,4</w:t>
      </w:r>
      <w:r w:rsidR="002F47C9" w:rsidRPr="003437BC">
        <w:rPr>
          <w:szCs w:val="20"/>
        </w:rPr>
        <w:t xml:space="preserve"> δισ.</w:t>
      </w:r>
      <w:r w:rsidRPr="003437BC">
        <w:rPr>
          <w:szCs w:val="20"/>
        </w:rPr>
        <w:t xml:space="preserve"> Οι συνολικές υποχρεώσεις διευρύνθηκαν κατά 8,9% την ίδια περίοδο.</w:t>
      </w:r>
    </w:p>
    <w:p w14:paraId="0DAC02F1" w14:textId="77777777" w:rsidR="00385068" w:rsidRDefault="00385068" w:rsidP="00862C87">
      <w:pPr>
        <w:suppressAutoHyphens/>
        <w:spacing w:line="360" w:lineRule="auto"/>
        <w:rPr>
          <w:szCs w:val="20"/>
        </w:rPr>
      </w:pPr>
    </w:p>
    <w:p w14:paraId="744B86B6" w14:textId="77777777" w:rsidR="00385068" w:rsidRDefault="00385068" w:rsidP="00862C87">
      <w:pPr>
        <w:suppressAutoHyphens/>
        <w:spacing w:line="360" w:lineRule="auto"/>
        <w:rPr>
          <w:szCs w:val="20"/>
        </w:rPr>
      </w:pPr>
    </w:p>
    <w:p w14:paraId="5CF0BEFD" w14:textId="1AB3E27E" w:rsidR="00321671" w:rsidRPr="003437BC" w:rsidRDefault="00F03AF5" w:rsidP="00B96C69">
      <w:pPr>
        <w:suppressAutoHyphens/>
        <w:spacing w:line="360" w:lineRule="auto"/>
        <w:ind w:firstLine="720"/>
        <w:rPr>
          <w:szCs w:val="20"/>
        </w:rPr>
      </w:pPr>
      <w:r w:rsidRPr="003437BC">
        <w:rPr>
          <w:szCs w:val="20"/>
        </w:rPr>
        <w:lastRenderedPageBreak/>
        <w:t>Σχετικά με βασικούς</w:t>
      </w:r>
      <w:r w:rsidR="002F47C9" w:rsidRPr="003437BC">
        <w:rPr>
          <w:szCs w:val="20"/>
        </w:rPr>
        <w:t xml:space="preserve"> χρηματοοικονομικούς δείκτες, επισημαίνεται η </w:t>
      </w:r>
      <w:r w:rsidR="00321671" w:rsidRPr="003437BC">
        <w:rPr>
          <w:szCs w:val="20"/>
        </w:rPr>
        <w:t xml:space="preserve">ελαφρά </w:t>
      </w:r>
      <w:r w:rsidR="00EC6C3F" w:rsidRPr="003437BC">
        <w:rPr>
          <w:szCs w:val="20"/>
        </w:rPr>
        <w:t>βελτίωση</w:t>
      </w:r>
      <w:r w:rsidR="00321671" w:rsidRPr="003437BC">
        <w:rPr>
          <w:szCs w:val="20"/>
        </w:rPr>
        <w:t xml:space="preserve"> του</w:t>
      </w:r>
      <w:r w:rsidR="006668BA" w:rsidRPr="003437BC">
        <w:rPr>
          <w:szCs w:val="20"/>
        </w:rPr>
        <w:t xml:space="preserve"> περιθωρί</w:t>
      </w:r>
      <w:r w:rsidR="00321671" w:rsidRPr="003437BC">
        <w:rPr>
          <w:szCs w:val="20"/>
        </w:rPr>
        <w:t>ου</w:t>
      </w:r>
      <w:r w:rsidR="006668BA" w:rsidRPr="003437BC">
        <w:rPr>
          <w:szCs w:val="20"/>
        </w:rPr>
        <w:t xml:space="preserve"> </w:t>
      </w:r>
      <w:r w:rsidR="008702C9">
        <w:rPr>
          <w:szCs w:val="20"/>
        </w:rPr>
        <w:t>μεικτ</w:t>
      </w:r>
      <w:r w:rsidR="00321671" w:rsidRPr="003437BC">
        <w:rPr>
          <w:szCs w:val="20"/>
        </w:rPr>
        <w:t>ού κέρδους το οποίο διαμορφώθηκε σε 41,41% το 2018 (2017:40,72%) καθώς και του περιθωρίου λειτουργικού κέρδους το οποίο ανήλθε σε 11,25% το ίδιο έτος (2017:9,08%).</w:t>
      </w:r>
    </w:p>
    <w:p w14:paraId="1ADBE972" w14:textId="77777777" w:rsidR="00321671" w:rsidRPr="00E31377" w:rsidRDefault="003437BC" w:rsidP="00862C87">
      <w:pPr>
        <w:suppressAutoHyphens/>
        <w:spacing w:line="360" w:lineRule="auto"/>
        <w:rPr>
          <w:szCs w:val="20"/>
        </w:rPr>
      </w:pPr>
      <w:r w:rsidRPr="00E31377">
        <w:rPr>
          <w:szCs w:val="20"/>
        </w:rPr>
        <w:t xml:space="preserve">Οριακή μείωση </w:t>
      </w:r>
      <w:r w:rsidR="00E31377" w:rsidRPr="00E31377">
        <w:rPr>
          <w:szCs w:val="20"/>
        </w:rPr>
        <w:t>κατά 0,54 ποσοστιαίες μονάδες</w:t>
      </w:r>
      <w:r w:rsidRPr="00E31377">
        <w:rPr>
          <w:szCs w:val="20"/>
        </w:rPr>
        <w:t xml:space="preserve"> παρουσίασε η αποδοτικότητα ιδίων κεφαλαίων την ίδια περίοδο. </w:t>
      </w:r>
    </w:p>
    <w:p w14:paraId="2CF1AC60" w14:textId="77777777" w:rsidR="00252697" w:rsidRPr="00D25879" w:rsidRDefault="00252697" w:rsidP="00862C87">
      <w:pPr>
        <w:suppressAutoHyphens/>
        <w:spacing w:line="360" w:lineRule="auto"/>
        <w:rPr>
          <w:szCs w:val="20"/>
          <w:highlight w:val="yellow"/>
        </w:rPr>
      </w:pPr>
    </w:p>
    <w:p w14:paraId="4E6EB21F" w14:textId="77777777" w:rsidR="00A44545" w:rsidRPr="00C3667B" w:rsidRDefault="000E38C9" w:rsidP="00B96C69">
      <w:pPr>
        <w:suppressAutoHyphens/>
        <w:spacing w:line="360" w:lineRule="auto"/>
        <w:ind w:firstLine="720"/>
        <w:rPr>
          <w:bCs/>
          <w:szCs w:val="20"/>
        </w:rPr>
      </w:pPr>
      <w:r w:rsidRPr="00C3667B">
        <w:rPr>
          <w:szCs w:val="20"/>
        </w:rPr>
        <w:t>Ο</w:t>
      </w:r>
      <w:r w:rsidR="00F17525" w:rsidRPr="00C3667B">
        <w:rPr>
          <w:szCs w:val="20"/>
        </w:rPr>
        <w:t xml:space="preserve"> κλάδο</w:t>
      </w:r>
      <w:r w:rsidRPr="00C3667B">
        <w:rPr>
          <w:szCs w:val="20"/>
        </w:rPr>
        <w:t>ς</w:t>
      </w:r>
      <w:r w:rsidR="00F17525" w:rsidRPr="00C3667B">
        <w:rPr>
          <w:szCs w:val="20"/>
        </w:rPr>
        <w:t xml:space="preserve"> </w:t>
      </w:r>
      <w:r w:rsidRPr="00C3667B">
        <w:rPr>
          <w:szCs w:val="20"/>
        </w:rPr>
        <w:t xml:space="preserve">των </w:t>
      </w:r>
      <w:r w:rsidR="00F17525" w:rsidRPr="00C3667B">
        <w:rPr>
          <w:b/>
          <w:szCs w:val="20"/>
        </w:rPr>
        <w:t>μεταφορών-επικοινωνιών</w:t>
      </w:r>
      <w:r w:rsidR="00F94F76" w:rsidRPr="00C3667B">
        <w:rPr>
          <w:b/>
          <w:szCs w:val="20"/>
        </w:rPr>
        <w:t xml:space="preserve"> </w:t>
      </w:r>
      <w:r w:rsidR="00A44545" w:rsidRPr="00C3667B">
        <w:rPr>
          <w:bCs/>
          <w:szCs w:val="20"/>
        </w:rPr>
        <w:t xml:space="preserve">εμφάνισε </w:t>
      </w:r>
      <w:r w:rsidR="00096811">
        <w:rPr>
          <w:bCs/>
          <w:szCs w:val="20"/>
        </w:rPr>
        <w:t xml:space="preserve">σημαντικά </w:t>
      </w:r>
      <w:r w:rsidR="00A44545" w:rsidRPr="00C3667B">
        <w:rPr>
          <w:bCs/>
          <w:szCs w:val="20"/>
        </w:rPr>
        <w:t>κέρδη το 2018, ανατρέποντας το αποτέλεσμα του 2017 το οποίο ήταν ζημιογόνο</w:t>
      </w:r>
      <w:r w:rsidR="00C3667B">
        <w:rPr>
          <w:bCs/>
          <w:szCs w:val="20"/>
        </w:rPr>
        <w:t>.</w:t>
      </w:r>
      <w:r w:rsidR="00755875" w:rsidRPr="00C3667B">
        <w:rPr>
          <w:bCs/>
          <w:szCs w:val="20"/>
        </w:rPr>
        <w:t xml:space="preserve"> </w:t>
      </w:r>
    </w:p>
    <w:p w14:paraId="07B42D0A" w14:textId="77777777" w:rsidR="00F94F76" w:rsidRPr="00626C1B" w:rsidRDefault="00755875" w:rsidP="00862C87">
      <w:pPr>
        <w:suppressAutoHyphens/>
        <w:spacing w:line="360" w:lineRule="auto"/>
        <w:rPr>
          <w:szCs w:val="20"/>
        </w:rPr>
      </w:pPr>
      <w:r w:rsidRPr="00C3667B">
        <w:rPr>
          <w:szCs w:val="20"/>
        </w:rPr>
        <w:t>Συγκεκριμένα, ο</w:t>
      </w:r>
      <w:r w:rsidR="005A5C92">
        <w:rPr>
          <w:szCs w:val="20"/>
        </w:rPr>
        <w:t xml:space="preserve"> συνολικός κύκλος εργασιών </w:t>
      </w:r>
      <w:r w:rsidR="000E38C9" w:rsidRPr="00C3667B">
        <w:rPr>
          <w:szCs w:val="20"/>
        </w:rPr>
        <w:t xml:space="preserve">των </w:t>
      </w:r>
      <w:r w:rsidRPr="00C3667B">
        <w:rPr>
          <w:szCs w:val="20"/>
        </w:rPr>
        <w:t>643</w:t>
      </w:r>
      <w:r w:rsidR="000E38C9" w:rsidRPr="00C3667B">
        <w:rPr>
          <w:szCs w:val="20"/>
        </w:rPr>
        <w:t xml:space="preserve"> επιχειρήσεων του δείγματος </w:t>
      </w:r>
      <w:r w:rsidR="005A5C92">
        <w:rPr>
          <w:szCs w:val="20"/>
        </w:rPr>
        <w:t xml:space="preserve">παρουσίασε </w:t>
      </w:r>
      <w:r w:rsidR="00C4062E" w:rsidRPr="00C3667B">
        <w:rPr>
          <w:szCs w:val="20"/>
        </w:rPr>
        <w:t>αύξηση</w:t>
      </w:r>
      <w:r w:rsidR="00B318F6" w:rsidRPr="00C3667B">
        <w:rPr>
          <w:szCs w:val="20"/>
        </w:rPr>
        <w:t xml:space="preserve"> κατά</w:t>
      </w:r>
      <w:r w:rsidRPr="00C3667B">
        <w:rPr>
          <w:szCs w:val="20"/>
        </w:rPr>
        <w:t xml:space="preserve"> 5,5%</w:t>
      </w:r>
      <w:r w:rsidR="00B318F6" w:rsidRPr="00C3667B">
        <w:rPr>
          <w:szCs w:val="20"/>
        </w:rPr>
        <w:t xml:space="preserve"> </w:t>
      </w:r>
      <w:r w:rsidR="005A5C92">
        <w:rPr>
          <w:szCs w:val="20"/>
        </w:rPr>
        <w:t>και ανήλθε</w:t>
      </w:r>
      <w:r w:rsidR="00AB096D" w:rsidRPr="00C3667B">
        <w:rPr>
          <w:szCs w:val="20"/>
        </w:rPr>
        <w:t xml:space="preserve"> </w:t>
      </w:r>
      <w:r w:rsidR="000E38C9" w:rsidRPr="00C3667B">
        <w:rPr>
          <w:szCs w:val="20"/>
        </w:rPr>
        <w:t>σε</w:t>
      </w:r>
      <w:r w:rsidR="00B318F6" w:rsidRPr="00C3667B">
        <w:rPr>
          <w:szCs w:val="20"/>
        </w:rPr>
        <w:t xml:space="preserve"> €</w:t>
      </w:r>
      <w:r w:rsidRPr="00C3667B">
        <w:rPr>
          <w:szCs w:val="20"/>
        </w:rPr>
        <w:t>12,3</w:t>
      </w:r>
      <w:r w:rsidR="002F47C9" w:rsidRPr="00C3667B">
        <w:rPr>
          <w:szCs w:val="20"/>
        </w:rPr>
        <w:t xml:space="preserve"> δισ.</w:t>
      </w:r>
      <w:r w:rsidR="009A2478" w:rsidRPr="00C3667B">
        <w:rPr>
          <w:szCs w:val="20"/>
        </w:rPr>
        <w:t xml:space="preserve"> το 201</w:t>
      </w:r>
      <w:r w:rsidRPr="00C3667B">
        <w:rPr>
          <w:szCs w:val="20"/>
        </w:rPr>
        <w:t>8</w:t>
      </w:r>
      <w:r w:rsidR="009A2478" w:rsidRPr="00C3667B">
        <w:rPr>
          <w:szCs w:val="20"/>
        </w:rPr>
        <w:t>.</w:t>
      </w:r>
      <w:r w:rsidR="00C3667B" w:rsidRPr="00C3667B">
        <w:rPr>
          <w:szCs w:val="20"/>
        </w:rPr>
        <w:t xml:space="preserve"> </w:t>
      </w:r>
      <w:r w:rsidRPr="00C3667B">
        <w:rPr>
          <w:szCs w:val="20"/>
        </w:rPr>
        <w:t xml:space="preserve">Τα </w:t>
      </w:r>
      <w:r w:rsidR="008702C9">
        <w:rPr>
          <w:szCs w:val="20"/>
        </w:rPr>
        <w:t>μεικτ</w:t>
      </w:r>
      <w:r w:rsidRPr="00C3667B">
        <w:rPr>
          <w:szCs w:val="20"/>
        </w:rPr>
        <w:t>ά κέρδη αυξήθηκαν</w:t>
      </w:r>
      <w:r w:rsidR="00F94F76" w:rsidRPr="00C3667B">
        <w:rPr>
          <w:szCs w:val="20"/>
        </w:rPr>
        <w:t xml:space="preserve"> με ελαφρώς</w:t>
      </w:r>
      <w:r w:rsidRPr="00C3667B">
        <w:rPr>
          <w:szCs w:val="20"/>
        </w:rPr>
        <w:t xml:space="preserve"> μικρότερο ρυθμό (</w:t>
      </w:r>
      <w:r w:rsidR="005A5C92">
        <w:rPr>
          <w:szCs w:val="20"/>
        </w:rPr>
        <w:t>4,0</w:t>
      </w:r>
      <w:r w:rsidRPr="00C3667B">
        <w:rPr>
          <w:szCs w:val="20"/>
        </w:rPr>
        <w:t>%). Παράλληλα, μείωση παρουσίασαν τόσο τα λειτουργικά έξοδα (κατά 13,1%) όσο και οι χρηματοοικονομικές δαπάνες (11,</w:t>
      </w:r>
      <w:r w:rsidR="005A5C92">
        <w:rPr>
          <w:szCs w:val="20"/>
        </w:rPr>
        <w:t>2</w:t>
      </w:r>
      <w:r w:rsidRPr="00C3667B">
        <w:rPr>
          <w:szCs w:val="20"/>
        </w:rPr>
        <w:t xml:space="preserve">%). Ο συνδυασμός των ανωτέρω </w:t>
      </w:r>
      <w:r w:rsidR="003A123C" w:rsidRPr="00C3667B">
        <w:rPr>
          <w:szCs w:val="20"/>
        </w:rPr>
        <w:t xml:space="preserve">οδήγησε </w:t>
      </w:r>
      <w:r w:rsidRPr="00C3667B">
        <w:rPr>
          <w:szCs w:val="20"/>
        </w:rPr>
        <w:t>στη</w:t>
      </w:r>
      <w:r w:rsidR="003A123C" w:rsidRPr="00C3667B">
        <w:rPr>
          <w:szCs w:val="20"/>
        </w:rPr>
        <w:t xml:space="preserve"> </w:t>
      </w:r>
      <w:r w:rsidR="00F94F76" w:rsidRPr="00C3667B">
        <w:rPr>
          <w:szCs w:val="20"/>
        </w:rPr>
        <w:t xml:space="preserve">σημαντικότατη αύξηση του </w:t>
      </w:r>
      <w:r w:rsidR="003A123C" w:rsidRPr="00C3667B">
        <w:rPr>
          <w:szCs w:val="20"/>
        </w:rPr>
        <w:t>λειτουργικού αποτελέσματος το 2018</w:t>
      </w:r>
      <w:r w:rsidR="005A5C92">
        <w:rPr>
          <w:szCs w:val="20"/>
        </w:rPr>
        <w:t xml:space="preserve"> (81,2%). Η μεταβολή</w:t>
      </w:r>
      <w:r w:rsidR="00F94F76" w:rsidRPr="00C3667B">
        <w:rPr>
          <w:szCs w:val="20"/>
        </w:rPr>
        <w:t xml:space="preserve"> αυτή και η διαμόρφωση θετικού μη </w:t>
      </w:r>
      <w:r w:rsidR="00C3667B" w:rsidRPr="00C3667B">
        <w:rPr>
          <w:szCs w:val="20"/>
        </w:rPr>
        <w:t>λειτουργικού</w:t>
      </w:r>
      <w:r w:rsidR="00F94F76" w:rsidRPr="00C3667B">
        <w:rPr>
          <w:szCs w:val="20"/>
        </w:rPr>
        <w:t xml:space="preserve"> αποτελέσματος το 2018 (από αρνητικό το 2017) </w:t>
      </w:r>
      <w:r w:rsidR="00C3667B" w:rsidRPr="00C3667B">
        <w:rPr>
          <w:szCs w:val="20"/>
        </w:rPr>
        <w:t>είχαν</w:t>
      </w:r>
      <w:r w:rsidR="00F94F76" w:rsidRPr="00C3667B">
        <w:rPr>
          <w:szCs w:val="20"/>
        </w:rPr>
        <w:t xml:space="preserve"> σαν αποτέλεσμα την καταγραφή κερδών ύψους €1,3 δι</w:t>
      </w:r>
      <w:r w:rsidR="00C3667B" w:rsidRPr="00C3667B">
        <w:rPr>
          <w:szCs w:val="20"/>
        </w:rPr>
        <w:t>σ</w:t>
      </w:r>
      <w:r w:rsidR="00F94F76" w:rsidRPr="00C3667B">
        <w:rPr>
          <w:szCs w:val="20"/>
        </w:rPr>
        <w:t>. το 201</w:t>
      </w:r>
      <w:r w:rsidR="00C3667B" w:rsidRPr="00C3667B">
        <w:rPr>
          <w:szCs w:val="20"/>
        </w:rPr>
        <w:t>8</w:t>
      </w:r>
      <w:r w:rsidR="00F94F76" w:rsidRPr="00C3667B">
        <w:rPr>
          <w:szCs w:val="20"/>
        </w:rPr>
        <w:t xml:space="preserve"> από ζημιές </w:t>
      </w:r>
      <w:r w:rsidR="00C3667B" w:rsidRPr="00C3667B">
        <w:rPr>
          <w:szCs w:val="20"/>
        </w:rPr>
        <w:t>ποσού</w:t>
      </w:r>
      <w:r w:rsidR="00F94F76" w:rsidRPr="00C3667B">
        <w:rPr>
          <w:szCs w:val="20"/>
        </w:rPr>
        <w:t xml:space="preserve"> €373</w:t>
      </w:r>
      <w:r w:rsidR="00C3667B" w:rsidRPr="00C3667B">
        <w:rPr>
          <w:szCs w:val="20"/>
        </w:rPr>
        <w:t xml:space="preserve">,2 εκ. το </w:t>
      </w:r>
      <w:r w:rsidR="00C3667B" w:rsidRPr="00626C1B">
        <w:rPr>
          <w:szCs w:val="20"/>
        </w:rPr>
        <w:t>προηγούμενο έτος.</w:t>
      </w:r>
      <w:r w:rsidR="00C3667B" w:rsidRPr="00626C1B">
        <w:rPr>
          <w:rStyle w:val="FootnoteReference"/>
          <w:szCs w:val="20"/>
        </w:rPr>
        <w:footnoteReference w:id="5"/>
      </w:r>
    </w:p>
    <w:p w14:paraId="2630854B" w14:textId="77777777" w:rsidR="00CB7BFF" w:rsidRDefault="002F47C9" w:rsidP="00B96C69">
      <w:pPr>
        <w:suppressAutoHyphens/>
        <w:spacing w:line="360" w:lineRule="auto"/>
        <w:ind w:firstLine="720"/>
        <w:rPr>
          <w:szCs w:val="20"/>
        </w:rPr>
      </w:pPr>
      <w:r w:rsidRPr="00C3667B">
        <w:rPr>
          <w:szCs w:val="20"/>
        </w:rPr>
        <w:t>Από πλευράς ισολογισμού, το συνολικό ενεργητικό</w:t>
      </w:r>
      <w:r w:rsidR="00EE2780" w:rsidRPr="00C3667B">
        <w:rPr>
          <w:szCs w:val="20"/>
        </w:rPr>
        <w:t xml:space="preserve"> αυξήθηκε</w:t>
      </w:r>
      <w:r w:rsidR="00BE54C4" w:rsidRPr="00C3667B">
        <w:rPr>
          <w:szCs w:val="20"/>
        </w:rPr>
        <w:t xml:space="preserve"> οριακά κατά 1,</w:t>
      </w:r>
      <w:r w:rsidR="005A5C92">
        <w:rPr>
          <w:szCs w:val="20"/>
        </w:rPr>
        <w:t>1</w:t>
      </w:r>
      <w:r w:rsidR="00BE54C4" w:rsidRPr="00C3667B">
        <w:rPr>
          <w:szCs w:val="20"/>
        </w:rPr>
        <w:t>%</w:t>
      </w:r>
      <w:r w:rsidR="005A5C92">
        <w:rPr>
          <w:szCs w:val="20"/>
        </w:rPr>
        <w:t>,</w:t>
      </w:r>
      <w:r w:rsidR="00BE54C4" w:rsidRPr="00C3667B">
        <w:rPr>
          <w:szCs w:val="20"/>
        </w:rPr>
        <w:t xml:space="preserve"> ενώ τα ίδια κεφάλαια διευρύνθηκαν κατά 4,3% την ίδια περίοδο. Οι μακροπρόθεσμες υποχρεώσεις συρρικνώθηκαν κατά </w:t>
      </w:r>
      <w:r w:rsidR="0006533F" w:rsidRPr="0006533F">
        <w:rPr>
          <w:szCs w:val="20"/>
        </w:rPr>
        <w:t>8</w:t>
      </w:r>
      <w:r w:rsidR="00BE54C4" w:rsidRPr="00C3667B">
        <w:rPr>
          <w:szCs w:val="20"/>
        </w:rPr>
        <w:t>,</w:t>
      </w:r>
      <w:r w:rsidR="0006533F" w:rsidRPr="0006533F">
        <w:rPr>
          <w:szCs w:val="20"/>
        </w:rPr>
        <w:t>0</w:t>
      </w:r>
      <w:r w:rsidR="00BE54C4" w:rsidRPr="00C3667B">
        <w:rPr>
          <w:szCs w:val="20"/>
        </w:rPr>
        <w:t xml:space="preserve">% </w:t>
      </w:r>
      <w:r w:rsidR="00C3667B" w:rsidRPr="00C3667B">
        <w:rPr>
          <w:szCs w:val="20"/>
        </w:rPr>
        <w:t>εν</w:t>
      </w:r>
      <w:r w:rsidR="00BE54C4" w:rsidRPr="00C3667B">
        <w:rPr>
          <w:szCs w:val="20"/>
        </w:rPr>
        <w:t xml:space="preserve"> αντιθέσει με τις βραχυπρόθεσμες οι οποίες αυξήθηκαν κατά 5,0%. Η αποδοτικότητα ιδίων κεφαλαίων κατέστη θετική το 2018 (10,</w:t>
      </w:r>
      <w:r w:rsidR="005A5C92">
        <w:rPr>
          <w:szCs w:val="20"/>
        </w:rPr>
        <w:t>9</w:t>
      </w:r>
      <w:r w:rsidR="00BE54C4" w:rsidRPr="00C3667B">
        <w:rPr>
          <w:szCs w:val="20"/>
        </w:rPr>
        <w:t>%) από αρνητική το 2017</w:t>
      </w:r>
      <w:r w:rsidR="00CB7BFF" w:rsidRPr="00CB7BFF">
        <w:rPr>
          <w:szCs w:val="20"/>
        </w:rPr>
        <w:t xml:space="preserve"> </w:t>
      </w:r>
    </w:p>
    <w:p w14:paraId="2E764B9D" w14:textId="77777777" w:rsidR="00BE54C4" w:rsidRPr="00C3667B" w:rsidRDefault="00BE54C4" w:rsidP="00862C87">
      <w:pPr>
        <w:suppressAutoHyphens/>
        <w:spacing w:line="360" w:lineRule="auto"/>
        <w:rPr>
          <w:szCs w:val="20"/>
        </w:rPr>
      </w:pPr>
      <w:r w:rsidRPr="00C3667B">
        <w:rPr>
          <w:szCs w:val="20"/>
        </w:rPr>
        <w:t>(-3,</w:t>
      </w:r>
      <w:r w:rsidR="0006533F" w:rsidRPr="002F3249">
        <w:rPr>
          <w:szCs w:val="20"/>
        </w:rPr>
        <w:t>2</w:t>
      </w:r>
      <w:r w:rsidRPr="00C3667B">
        <w:rPr>
          <w:szCs w:val="20"/>
        </w:rPr>
        <w:t xml:space="preserve">%). </w:t>
      </w:r>
    </w:p>
    <w:p w14:paraId="0B3F96D0" w14:textId="77777777" w:rsidR="00EF7D7B" w:rsidRPr="00D25879" w:rsidRDefault="00EF7D7B" w:rsidP="00862C87">
      <w:pPr>
        <w:suppressAutoHyphens/>
        <w:spacing w:line="360" w:lineRule="auto"/>
        <w:rPr>
          <w:szCs w:val="20"/>
          <w:highlight w:val="yellow"/>
        </w:rPr>
      </w:pPr>
    </w:p>
    <w:p w14:paraId="218955B3" w14:textId="77777777" w:rsidR="000C09ED" w:rsidRPr="006E0838" w:rsidRDefault="000F4BFD" w:rsidP="00B96C69">
      <w:pPr>
        <w:suppressAutoHyphens/>
        <w:spacing w:line="360" w:lineRule="auto"/>
        <w:ind w:firstLine="720"/>
        <w:rPr>
          <w:szCs w:val="20"/>
        </w:rPr>
      </w:pPr>
      <w:r w:rsidRPr="006E0838">
        <w:rPr>
          <w:szCs w:val="20"/>
        </w:rPr>
        <w:t>Ο κλάδος</w:t>
      </w:r>
      <w:r w:rsidR="004C782A" w:rsidRPr="006E0838">
        <w:rPr>
          <w:szCs w:val="20"/>
        </w:rPr>
        <w:t xml:space="preserve"> </w:t>
      </w:r>
      <w:r w:rsidR="002F47C9" w:rsidRPr="006E0838">
        <w:rPr>
          <w:szCs w:val="20"/>
        </w:rPr>
        <w:t xml:space="preserve">των </w:t>
      </w:r>
      <w:r w:rsidR="002F47C9" w:rsidRPr="006E0838">
        <w:rPr>
          <w:b/>
          <w:szCs w:val="20"/>
        </w:rPr>
        <w:t>λοιπών υπηρεσιών</w:t>
      </w:r>
      <w:r w:rsidRPr="006E0838">
        <w:rPr>
          <w:szCs w:val="20"/>
        </w:rPr>
        <w:t xml:space="preserve"> είναι πολυσύνθετος. Το δείγμα</w:t>
      </w:r>
      <w:r w:rsidR="000C09ED" w:rsidRPr="006E0838">
        <w:rPr>
          <w:szCs w:val="20"/>
        </w:rPr>
        <w:t xml:space="preserve"> των 3.448 επιχειρήσεων </w:t>
      </w:r>
      <w:r w:rsidRPr="006E0838">
        <w:rPr>
          <w:szCs w:val="20"/>
        </w:rPr>
        <w:t xml:space="preserve">περιλαμβάνει μονάδες με διαφορετικές δραστηριότητες, όπως: πληροφορική, ψυχαγωγία, υγεία, διαχείριση ακινήτων, κ.α. </w:t>
      </w:r>
      <w:r w:rsidR="002F47C9" w:rsidRPr="006E0838">
        <w:rPr>
          <w:szCs w:val="20"/>
        </w:rPr>
        <w:t>Ο συνολικός κύκλος εργασιών</w:t>
      </w:r>
      <w:r w:rsidR="00574209" w:rsidRPr="006E0838">
        <w:rPr>
          <w:szCs w:val="20"/>
        </w:rPr>
        <w:t xml:space="preserve"> </w:t>
      </w:r>
      <w:r w:rsidR="00A76CB9" w:rsidRPr="006E0838">
        <w:rPr>
          <w:szCs w:val="20"/>
        </w:rPr>
        <w:t xml:space="preserve">τους ανήλθε σε </w:t>
      </w:r>
      <w:r w:rsidR="004363AC" w:rsidRPr="006E0838">
        <w:rPr>
          <w:szCs w:val="20"/>
        </w:rPr>
        <w:t>€</w:t>
      </w:r>
      <w:r w:rsidR="000C09ED" w:rsidRPr="006E0838">
        <w:rPr>
          <w:szCs w:val="20"/>
        </w:rPr>
        <w:t xml:space="preserve">14,5 </w:t>
      </w:r>
      <w:r w:rsidR="00F03AF5" w:rsidRPr="006E0838">
        <w:rPr>
          <w:szCs w:val="20"/>
        </w:rPr>
        <w:t>δισ</w:t>
      </w:r>
      <w:r w:rsidR="00A76CB9" w:rsidRPr="006E0838">
        <w:rPr>
          <w:szCs w:val="20"/>
        </w:rPr>
        <w:t>. αυξημένος</w:t>
      </w:r>
      <w:r w:rsidR="004363AC" w:rsidRPr="006E0838">
        <w:rPr>
          <w:szCs w:val="20"/>
        </w:rPr>
        <w:t xml:space="preserve"> </w:t>
      </w:r>
      <w:r w:rsidR="00A76CB9" w:rsidRPr="006E0838">
        <w:rPr>
          <w:szCs w:val="20"/>
        </w:rPr>
        <w:t>κατά</w:t>
      </w:r>
      <w:r w:rsidR="000C09ED" w:rsidRPr="006E0838">
        <w:rPr>
          <w:szCs w:val="20"/>
        </w:rPr>
        <w:t xml:space="preserve"> 4,8%</w:t>
      </w:r>
      <w:r w:rsidR="00BF7785" w:rsidRPr="006E0838">
        <w:rPr>
          <w:szCs w:val="20"/>
        </w:rPr>
        <w:t xml:space="preserve"> έναντι του 201</w:t>
      </w:r>
      <w:r w:rsidR="000C09ED" w:rsidRPr="006E0838">
        <w:rPr>
          <w:szCs w:val="20"/>
        </w:rPr>
        <w:t>7</w:t>
      </w:r>
      <w:r w:rsidR="00951729" w:rsidRPr="006E0838">
        <w:rPr>
          <w:szCs w:val="20"/>
        </w:rPr>
        <w:t>, ενώ λ</w:t>
      </w:r>
      <w:r w:rsidR="00A76CB9" w:rsidRPr="006E0838">
        <w:rPr>
          <w:szCs w:val="20"/>
        </w:rPr>
        <w:t>όγω συγκράτησης του κόστους πωλήσεων τα μεικτά κέρδη</w:t>
      </w:r>
      <w:r w:rsidR="004363AC" w:rsidRPr="006E0838">
        <w:rPr>
          <w:szCs w:val="20"/>
        </w:rPr>
        <w:t xml:space="preserve"> ενισχύθηκαν κατά </w:t>
      </w:r>
      <w:r w:rsidR="000C09ED" w:rsidRPr="006E0838">
        <w:rPr>
          <w:szCs w:val="20"/>
        </w:rPr>
        <w:t xml:space="preserve">10,0%. </w:t>
      </w:r>
      <w:r w:rsidR="00951729" w:rsidRPr="006E0838">
        <w:rPr>
          <w:szCs w:val="20"/>
        </w:rPr>
        <w:t>Το γεγονός αυτό</w:t>
      </w:r>
      <w:r w:rsidR="00F75F34">
        <w:rPr>
          <w:szCs w:val="20"/>
        </w:rPr>
        <w:t>,</w:t>
      </w:r>
      <w:r w:rsidR="006379E6" w:rsidRPr="006E0838">
        <w:rPr>
          <w:szCs w:val="20"/>
        </w:rPr>
        <w:t xml:space="preserve"> </w:t>
      </w:r>
      <w:r w:rsidR="00F75F34">
        <w:rPr>
          <w:szCs w:val="20"/>
        </w:rPr>
        <w:t xml:space="preserve">σε συνδυασμό με την </w:t>
      </w:r>
      <w:r w:rsidR="000C09ED" w:rsidRPr="006E0838">
        <w:rPr>
          <w:szCs w:val="20"/>
        </w:rPr>
        <w:t>αξιόλογη αύξηση</w:t>
      </w:r>
      <w:r w:rsidR="006379E6" w:rsidRPr="006E0838">
        <w:rPr>
          <w:szCs w:val="20"/>
        </w:rPr>
        <w:t xml:space="preserve"> των </w:t>
      </w:r>
      <w:r w:rsidR="00F75F34">
        <w:rPr>
          <w:szCs w:val="20"/>
        </w:rPr>
        <w:t xml:space="preserve">λειτουργικών εσόδων (20,3%), οδήγησε τελικά στη βελτίωση των </w:t>
      </w:r>
      <w:r w:rsidR="006379E6" w:rsidRPr="006E0838">
        <w:rPr>
          <w:szCs w:val="20"/>
        </w:rPr>
        <w:t xml:space="preserve">συνολικών </w:t>
      </w:r>
      <w:r w:rsidR="00A76CB9" w:rsidRPr="006E0838">
        <w:rPr>
          <w:szCs w:val="20"/>
        </w:rPr>
        <w:t>λειτουργικ</w:t>
      </w:r>
      <w:r w:rsidR="006379E6" w:rsidRPr="006E0838">
        <w:rPr>
          <w:szCs w:val="20"/>
        </w:rPr>
        <w:t xml:space="preserve">ών </w:t>
      </w:r>
      <w:r w:rsidR="00A76CB9" w:rsidRPr="006E0838">
        <w:rPr>
          <w:szCs w:val="20"/>
        </w:rPr>
        <w:t>αποτελ</w:t>
      </w:r>
      <w:r w:rsidR="006379E6" w:rsidRPr="006E0838">
        <w:rPr>
          <w:szCs w:val="20"/>
        </w:rPr>
        <w:t>εσμάτων</w:t>
      </w:r>
      <w:r w:rsidR="004363AC" w:rsidRPr="006E0838">
        <w:rPr>
          <w:szCs w:val="20"/>
        </w:rPr>
        <w:t xml:space="preserve"> </w:t>
      </w:r>
      <w:r w:rsidR="00F75F34">
        <w:rPr>
          <w:szCs w:val="20"/>
        </w:rPr>
        <w:t xml:space="preserve">κατά </w:t>
      </w:r>
      <w:r w:rsidR="000C09ED" w:rsidRPr="006E0838">
        <w:rPr>
          <w:szCs w:val="20"/>
        </w:rPr>
        <w:t>21,8%</w:t>
      </w:r>
      <w:r w:rsidR="00092B6F">
        <w:rPr>
          <w:szCs w:val="20"/>
        </w:rPr>
        <w:t>,</w:t>
      </w:r>
      <w:r w:rsidR="00F75F34">
        <w:rPr>
          <w:szCs w:val="20"/>
        </w:rPr>
        <w:t xml:space="preserve"> παρά την παράλληλη άνοδο των δαπανών διοίκησης και διάθεσης. Επιπλέον, </w:t>
      </w:r>
      <w:r w:rsidR="000C09ED" w:rsidRPr="006E0838">
        <w:rPr>
          <w:szCs w:val="20"/>
        </w:rPr>
        <w:t>η βελτίωση του</w:t>
      </w:r>
      <w:r w:rsidR="005A5C92">
        <w:rPr>
          <w:szCs w:val="20"/>
        </w:rPr>
        <w:t xml:space="preserve"> (αρνητικού)</w:t>
      </w:r>
      <w:r w:rsidR="000C09ED" w:rsidRPr="006E0838">
        <w:rPr>
          <w:szCs w:val="20"/>
        </w:rPr>
        <w:t xml:space="preserve"> μη λειτουργικού αποτελέσματος</w:t>
      </w:r>
      <w:r w:rsidR="005A5C92">
        <w:rPr>
          <w:szCs w:val="20"/>
        </w:rPr>
        <w:t>,</w:t>
      </w:r>
      <w:r w:rsidR="000C09ED" w:rsidRPr="006E0838">
        <w:rPr>
          <w:szCs w:val="20"/>
        </w:rPr>
        <w:t xml:space="preserve"> είχε σαν</w:t>
      </w:r>
      <w:r w:rsidR="005A5C92">
        <w:rPr>
          <w:szCs w:val="20"/>
        </w:rPr>
        <w:t xml:space="preserve"> συνέπεια</w:t>
      </w:r>
      <w:r w:rsidR="000C09ED" w:rsidRPr="006E0838">
        <w:rPr>
          <w:szCs w:val="20"/>
        </w:rPr>
        <w:t xml:space="preserve"> τη σημαντική διεύρυνση της κερδοφορίας κατά 49,</w:t>
      </w:r>
      <w:r w:rsidR="005A5C92">
        <w:rPr>
          <w:szCs w:val="20"/>
        </w:rPr>
        <w:t>7</w:t>
      </w:r>
      <w:r w:rsidR="000C09ED" w:rsidRPr="006E0838">
        <w:rPr>
          <w:szCs w:val="20"/>
        </w:rPr>
        <w:t>% το 2018/2017.</w:t>
      </w:r>
    </w:p>
    <w:p w14:paraId="1CA4F1C1" w14:textId="77777777" w:rsidR="00385068" w:rsidRDefault="000C09ED" w:rsidP="00862C87">
      <w:pPr>
        <w:suppressAutoHyphens/>
        <w:spacing w:line="360" w:lineRule="auto"/>
        <w:rPr>
          <w:szCs w:val="20"/>
        </w:rPr>
      </w:pPr>
      <w:r w:rsidRPr="006E0838">
        <w:rPr>
          <w:szCs w:val="20"/>
        </w:rPr>
        <w:t>Το συνολικό ενεργητικό των εταιρειών του δείγματος αυξήθηκε</w:t>
      </w:r>
      <w:r w:rsidR="006E0838" w:rsidRPr="006E0838">
        <w:rPr>
          <w:szCs w:val="20"/>
        </w:rPr>
        <w:t xml:space="preserve"> κατά 3,6%</w:t>
      </w:r>
      <w:r w:rsidRPr="006E0838">
        <w:rPr>
          <w:szCs w:val="20"/>
        </w:rPr>
        <w:t xml:space="preserve"> ενώ τα ίδια κεφάλαια διευρύνθηκαν κατά 5,3%. </w:t>
      </w:r>
      <w:r w:rsidR="006E0838" w:rsidRPr="006E0838">
        <w:rPr>
          <w:szCs w:val="20"/>
        </w:rPr>
        <w:t xml:space="preserve">Βελτίωση παρουσίασαν όλοι οι δείκτες κερδοφορίας και συγκεκριμένα </w:t>
      </w:r>
    </w:p>
    <w:p w14:paraId="3D3DE508" w14:textId="77777777" w:rsidR="00385068" w:rsidRDefault="00385068" w:rsidP="00862C87">
      <w:pPr>
        <w:suppressAutoHyphens/>
        <w:spacing w:line="360" w:lineRule="auto"/>
        <w:rPr>
          <w:szCs w:val="20"/>
        </w:rPr>
      </w:pPr>
    </w:p>
    <w:p w14:paraId="2CA966FB" w14:textId="18BBA6CE" w:rsidR="000C09ED" w:rsidRPr="006E0838" w:rsidRDefault="006E0838" w:rsidP="00862C87">
      <w:pPr>
        <w:suppressAutoHyphens/>
        <w:spacing w:line="360" w:lineRule="auto"/>
        <w:rPr>
          <w:szCs w:val="20"/>
        </w:rPr>
      </w:pPr>
      <w:r w:rsidRPr="006E0838">
        <w:rPr>
          <w:szCs w:val="20"/>
        </w:rPr>
        <w:lastRenderedPageBreak/>
        <w:t>το</w:t>
      </w:r>
      <w:r w:rsidR="000C09ED" w:rsidRPr="006E0838">
        <w:rPr>
          <w:szCs w:val="20"/>
        </w:rPr>
        <w:t xml:space="preserve"> περιθώριο </w:t>
      </w:r>
      <w:r w:rsidR="008702C9">
        <w:rPr>
          <w:szCs w:val="20"/>
        </w:rPr>
        <w:t>μεικτ</w:t>
      </w:r>
      <w:r w:rsidR="000C09ED" w:rsidRPr="006E0838">
        <w:rPr>
          <w:szCs w:val="20"/>
        </w:rPr>
        <w:t xml:space="preserve">ού κέρδους </w:t>
      </w:r>
      <w:r w:rsidRPr="006E0838">
        <w:rPr>
          <w:szCs w:val="20"/>
        </w:rPr>
        <w:t>αυξήθηκε</w:t>
      </w:r>
      <w:r w:rsidR="000C09ED" w:rsidRPr="006E0838">
        <w:rPr>
          <w:szCs w:val="20"/>
        </w:rPr>
        <w:t xml:space="preserve"> κατά 1,34 ποσοστιαίες μονάδες</w:t>
      </w:r>
      <w:r w:rsidRPr="006E0838">
        <w:rPr>
          <w:szCs w:val="20"/>
        </w:rPr>
        <w:t>. Ο δείκτης της</w:t>
      </w:r>
      <w:r w:rsidR="000C09ED" w:rsidRPr="006E0838">
        <w:rPr>
          <w:szCs w:val="20"/>
        </w:rPr>
        <w:t xml:space="preserve"> αποδοτικότητα</w:t>
      </w:r>
      <w:r w:rsidRPr="006E0838">
        <w:rPr>
          <w:szCs w:val="20"/>
        </w:rPr>
        <w:t>ς</w:t>
      </w:r>
      <w:r w:rsidR="000C09ED" w:rsidRPr="006E0838">
        <w:rPr>
          <w:szCs w:val="20"/>
        </w:rPr>
        <w:t xml:space="preserve"> ιδίων κεφαλαίων </w:t>
      </w:r>
      <w:r w:rsidRPr="006E0838">
        <w:rPr>
          <w:szCs w:val="20"/>
        </w:rPr>
        <w:t xml:space="preserve">ενισχύθηκε </w:t>
      </w:r>
      <w:r w:rsidR="000C09ED" w:rsidRPr="006E0838">
        <w:rPr>
          <w:szCs w:val="20"/>
        </w:rPr>
        <w:t>κατά 2,5 ποσοστιαίες μονάδες την ίδια περίοδο.</w:t>
      </w:r>
    </w:p>
    <w:p w14:paraId="79E07270" w14:textId="77777777" w:rsidR="000C09ED" w:rsidRDefault="000C09ED" w:rsidP="00862C87">
      <w:pPr>
        <w:suppressAutoHyphens/>
        <w:spacing w:line="360" w:lineRule="auto"/>
        <w:rPr>
          <w:szCs w:val="20"/>
          <w:highlight w:val="yellow"/>
        </w:rPr>
      </w:pPr>
    </w:p>
    <w:p w14:paraId="329328ED" w14:textId="77777777" w:rsidR="005E4840" w:rsidRPr="0000207F" w:rsidRDefault="002F47C9" w:rsidP="00B96C69">
      <w:pPr>
        <w:suppressAutoHyphens/>
        <w:spacing w:line="360" w:lineRule="auto"/>
        <w:ind w:firstLine="720"/>
        <w:rPr>
          <w:szCs w:val="20"/>
        </w:rPr>
      </w:pPr>
      <w:r w:rsidRPr="0000207F">
        <w:rPr>
          <w:szCs w:val="20"/>
        </w:rPr>
        <w:t xml:space="preserve">Όσον αφορά στον </w:t>
      </w:r>
      <w:r w:rsidRPr="0000207F">
        <w:rPr>
          <w:b/>
          <w:szCs w:val="20"/>
        </w:rPr>
        <w:t>χρηματοπιστωτικό τομέα</w:t>
      </w:r>
      <w:r w:rsidRPr="0000207F">
        <w:rPr>
          <w:szCs w:val="20"/>
        </w:rPr>
        <w:t xml:space="preserve">, </w:t>
      </w:r>
      <w:r w:rsidR="00C8499B" w:rsidRPr="0000207F">
        <w:rPr>
          <w:szCs w:val="20"/>
        </w:rPr>
        <w:t>παρατηρείται σημαντική</w:t>
      </w:r>
      <w:r w:rsidR="00843660" w:rsidRPr="0000207F">
        <w:rPr>
          <w:szCs w:val="20"/>
        </w:rPr>
        <w:t xml:space="preserve"> μείωση</w:t>
      </w:r>
      <w:r w:rsidR="00C8499B" w:rsidRPr="0000207F">
        <w:rPr>
          <w:szCs w:val="20"/>
        </w:rPr>
        <w:t xml:space="preserve"> των ζημιών το</w:t>
      </w:r>
      <w:r w:rsidR="00843660" w:rsidRPr="0000207F">
        <w:rPr>
          <w:szCs w:val="20"/>
        </w:rPr>
        <w:t xml:space="preserve"> 2018</w:t>
      </w:r>
      <w:r w:rsidR="0000207F" w:rsidRPr="0000207F">
        <w:rPr>
          <w:szCs w:val="20"/>
        </w:rPr>
        <w:t>,</w:t>
      </w:r>
      <w:r w:rsidR="00C8499B" w:rsidRPr="0000207F">
        <w:rPr>
          <w:szCs w:val="20"/>
        </w:rPr>
        <w:t xml:space="preserve"> </w:t>
      </w:r>
      <w:r w:rsidR="00043D05" w:rsidRPr="0000207F">
        <w:rPr>
          <w:szCs w:val="20"/>
        </w:rPr>
        <w:t>λόγω</w:t>
      </w:r>
      <w:r w:rsidR="00BA657A" w:rsidRPr="0000207F">
        <w:rPr>
          <w:szCs w:val="20"/>
        </w:rPr>
        <w:t xml:space="preserve"> </w:t>
      </w:r>
      <w:r w:rsidR="0000207F" w:rsidRPr="0000207F">
        <w:rPr>
          <w:szCs w:val="20"/>
        </w:rPr>
        <w:t xml:space="preserve">της έντονης </w:t>
      </w:r>
      <w:r w:rsidR="00BA657A" w:rsidRPr="0000207F">
        <w:rPr>
          <w:szCs w:val="20"/>
        </w:rPr>
        <w:t xml:space="preserve">συρρίκνωσης των ζημιών του τραπεζικού κλάδου. </w:t>
      </w:r>
      <w:r w:rsidR="00C8499B" w:rsidRPr="0000207F">
        <w:rPr>
          <w:szCs w:val="20"/>
        </w:rPr>
        <w:t xml:space="preserve">Συγκεκριμένα, το </w:t>
      </w:r>
      <w:r w:rsidR="005E4840" w:rsidRPr="0000207F">
        <w:rPr>
          <w:szCs w:val="20"/>
        </w:rPr>
        <w:t>2018</w:t>
      </w:r>
      <w:r w:rsidR="00C8499B" w:rsidRPr="0000207F">
        <w:rPr>
          <w:szCs w:val="20"/>
        </w:rPr>
        <w:t xml:space="preserve"> τα συνολικά έσοδα των 14 </w:t>
      </w:r>
      <w:r w:rsidR="00C8499B" w:rsidRPr="0000207F">
        <w:rPr>
          <w:b/>
          <w:szCs w:val="20"/>
        </w:rPr>
        <w:t>τραπεζών</w:t>
      </w:r>
      <w:r w:rsidR="00C8499B" w:rsidRPr="0000207F">
        <w:rPr>
          <w:szCs w:val="20"/>
        </w:rPr>
        <w:t xml:space="preserve"> που περιλαμβάνονται στην ανάλυση μειώθηκαν κατά</w:t>
      </w:r>
      <w:r w:rsidR="005E4840" w:rsidRPr="0000207F">
        <w:rPr>
          <w:szCs w:val="20"/>
        </w:rPr>
        <w:t xml:space="preserve"> 11,8%</w:t>
      </w:r>
      <w:r w:rsidR="00C8499B" w:rsidRPr="0000207F">
        <w:rPr>
          <w:szCs w:val="20"/>
        </w:rPr>
        <w:t xml:space="preserve"> και διαμορφώθηκαν στο ποσό των</w:t>
      </w:r>
      <w:r w:rsidR="009E452B" w:rsidRPr="0000207F">
        <w:rPr>
          <w:szCs w:val="20"/>
        </w:rPr>
        <w:t xml:space="preserve"> €</w:t>
      </w:r>
      <w:r w:rsidR="005E4840" w:rsidRPr="0000207F">
        <w:rPr>
          <w:szCs w:val="20"/>
        </w:rPr>
        <w:t>7,2</w:t>
      </w:r>
      <w:r w:rsidR="00C8499B" w:rsidRPr="0000207F">
        <w:rPr>
          <w:szCs w:val="20"/>
        </w:rPr>
        <w:t xml:space="preserve"> δισ. </w:t>
      </w:r>
      <w:r w:rsidR="005E4840" w:rsidRPr="0000207F">
        <w:rPr>
          <w:szCs w:val="20"/>
        </w:rPr>
        <w:t>Από την άλλη πλευρά όμως, αυξήθηκαν κατά 32,</w:t>
      </w:r>
      <w:r w:rsidR="00B769FF">
        <w:rPr>
          <w:szCs w:val="20"/>
        </w:rPr>
        <w:t>3</w:t>
      </w:r>
      <w:r w:rsidR="005E4840" w:rsidRPr="0000207F">
        <w:rPr>
          <w:szCs w:val="20"/>
        </w:rPr>
        <w:t xml:space="preserve">% </w:t>
      </w:r>
      <w:r w:rsidR="00BA657A" w:rsidRPr="0000207F">
        <w:rPr>
          <w:szCs w:val="20"/>
        </w:rPr>
        <w:t xml:space="preserve">τα </w:t>
      </w:r>
      <w:r w:rsidR="005E4840" w:rsidRPr="0000207F">
        <w:rPr>
          <w:szCs w:val="20"/>
        </w:rPr>
        <w:t xml:space="preserve">λοιπά λειτουργικά έσοδα του τομέα και παράλληλα μειώθηκαν </w:t>
      </w:r>
      <w:r w:rsidR="009E452B" w:rsidRPr="0000207F">
        <w:rPr>
          <w:szCs w:val="20"/>
        </w:rPr>
        <w:t xml:space="preserve">κατά </w:t>
      </w:r>
      <w:r w:rsidR="005E4840" w:rsidRPr="0000207F">
        <w:rPr>
          <w:szCs w:val="20"/>
        </w:rPr>
        <w:t>26,</w:t>
      </w:r>
      <w:r w:rsidR="00B769FF">
        <w:rPr>
          <w:szCs w:val="20"/>
        </w:rPr>
        <w:t>9</w:t>
      </w:r>
      <w:r w:rsidR="005E4840" w:rsidRPr="0000207F">
        <w:rPr>
          <w:szCs w:val="20"/>
        </w:rPr>
        <w:t xml:space="preserve">% </w:t>
      </w:r>
      <w:r w:rsidR="009E452B" w:rsidRPr="0000207F">
        <w:rPr>
          <w:szCs w:val="20"/>
        </w:rPr>
        <w:t>τα λοιπά λειτουργικά</w:t>
      </w:r>
      <w:r w:rsidR="005E4840" w:rsidRPr="0000207F">
        <w:rPr>
          <w:szCs w:val="20"/>
        </w:rPr>
        <w:t xml:space="preserve"> έξοδα. Αποτέλεσμα των παραπάνω μεταβολών ήταν η σημαντική βελτίωση του </w:t>
      </w:r>
      <w:r w:rsidR="009E452B" w:rsidRPr="0000207F">
        <w:rPr>
          <w:szCs w:val="20"/>
        </w:rPr>
        <w:t>συνολικ</w:t>
      </w:r>
      <w:r w:rsidR="005E4840" w:rsidRPr="0000207F">
        <w:rPr>
          <w:szCs w:val="20"/>
        </w:rPr>
        <w:t>ού</w:t>
      </w:r>
      <w:r w:rsidR="009E452B" w:rsidRPr="0000207F">
        <w:rPr>
          <w:szCs w:val="20"/>
        </w:rPr>
        <w:t xml:space="preserve"> λειτουργικ</w:t>
      </w:r>
      <w:r w:rsidR="005E4840" w:rsidRPr="0000207F">
        <w:rPr>
          <w:szCs w:val="20"/>
        </w:rPr>
        <w:t>ού</w:t>
      </w:r>
      <w:r w:rsidR="009E452B" w:rsidRPr="0000207F">
        <w:rPr>
          <w:szCs w:val="20"/>
        </w:rPr>
        <w:t xml:space="preserve"> αποτ</w:t>
      </w:r>
      <w:r w:rsidR="005E4840" w:rsidRPr="0000207F">
        <w:rPr>
          <w:szCs w:val="20"/>
        </w:rPr>
        <w:t>ελέσματος (κατά 60,</w:t>
      </w:r>
      <w:r w:rsidR="00B769FF">
        <w:rPr>
          <w:szCs w:val="20"/>
        </w:rPr>
        <w:t>5</w:t>
      </w:r>
      <w:r w:rsidR="005E4840" w:rsidRPr="0000207F">
        <w:rPr>
          <w:szCs w:val="20"/>
        </w:rPr>
        <w:t>%).</w:t>
      </w:r>
    </w:p>
    <w:p w14:paraId="5295D7D9" w14:textId="77777777" w:rsidR="005E4840" w:rsidRPr="0000207F" w:rsidRDefault="00C8499B" w:rsidP="00862C87">
      <w:pPr>
        <w:suppressAutoHyphens/>
        <w:spacing w:line="360" w:lineRule="auto"/>
        <w:rPr>
          <w:szCs w:val="20"/>
        </w:rPr>
      </w:pPr>
      <w:r w:rsidRPr="0000207F">
        <w:rPr>
          <w:szCs w:val="20"/>
        </w:rPr>
        <w:t>Η εξέλιξη αυτή σε συνδυασμό με</w:t>
      </w:r>
      <w:r w:rsidR="005E4840" w:rsidRPr="0000207F">
        <w:rPr>
          <w:szCs w:val="20"/>
        </w:rPr>
        <w:t xml:space="preserve"> την οριακή μείωση των προβλέψεων (-0,</w:t>
      </w:r>
      <w:r w:rsidR="00B769FF">
        <w:rPr>
          <w:szCs w:val="20"/>
        </w:rPr>
        <w:t>7</w:t>
      </w:r>
      <w:r w:rsidR="005E4840" w:rsidRPr="0000207F">
        <w:rPr>
          <w:szCs w:val="20"/>
        </w:rPr>
        <w:t xml:space="preserve">%) </w:t>
      </w:r>
      <w:r w:rsidRPr="0000207F">
        <w:rPr>
          <w:szCs w:val="20"/>
        </w:rPr>
        <w:t>οδήγησαν</w:t>
      </w:r>
      <w:r w:rsidR="005E4840" w:rsidRPr="0000207F">
        <w:rPr>
          <w:szCs w:val="20"/>
        </w:rPr>
        <w:t xml:space="preserve"> στη σημαντική συρρίκνωση των ζημιών (κατά 66,</w:t>
      </w:r>
      <w:r w:rsidR="00B769FF">
        <w:rPr>
          <w:szCs w:val="20"/>
        </w:rPr>
        <w:t>6</w:t>
      </w:r>
      <w:r w:rsidR="005E4840" w:rsidRPr="0000207F">
        <w:rPr>
          <w:szCs w:val="20"/>
        </w:rPr>
        <w:t>%). Συγκεκριμένα, οι ζημιές μειώθηκαν σε €363,7 εκ. το 2018 από €1,1 δι</w:t>
      </w:r>
      <w:r w:rsidR="0000207F" w:rsidRPr="0000207F">
        <w:rPr>
          <w:szCs w:val="20"/>
        </w:rPr>
        <w:t>σ</w:t>
      </w:r>
      <w:r w:rsidR="005E4840" w:rsidRPr="0000207F">
        <w:rPr>
          <w:szCs w:val="20"/>
        </w:rPr>
        <w:t xml:space="preserve">. το προηγούμενο έτος. </w:t>
      </w:r>
    </w:p>
    <w:p w14:paraId="5986922C" w14:textId="77777777" w:rsidR="00C8499B" w:rsidRPr="0000207F" w:rsidRDefault="00755796" w:rsidP="00862C87">
      <w:pPr>
        <w:suppressAutoHyphens/>
        <w:spacing w:line="360" w:lineRule="auto"/>
        <w:rPr>
          <w:szCs w:val="20"/>
        </w:rPr>
      </w:pPr>
      <w:r w:rsidRPr="0000207F">
        <w:rPr>
          <w:szCs w:val="20"/>
        </w:rPr>
        <w:t>Από πλευρά</w:t>
      </w:r>
      <w:r w:rsidR="00011333" w:rsidRPr="0000207F">
        <w:rPr>
          <w:szCs w:val="20"/>
        </w:rPr>
        <w:t>ς</w:t>
      </w:r>
      <w:r w:rsidRPr="0000207F">
        <w:rPr>
          <w:szCs w:val="20"/>
        </w:rPr>
        <w:t xml:space="preserve"> ισολογισμού,</w:t>
      </w:r>
      <w:r w:rsidR="00C8499B" w:rsidRPr="0000207F">
        <w:rPr>
          <w:szCs w:val="20"/>
        </w:rPr>
        <w:t xml:space="preserve"> </w:t>
      </w:r>
      <w:r w:rsidRPr="0000207F">
        <w:rPr>
          <w:szCs w:val="20"/>
        </w:rPr>
        <w:t>το συνολ</w:t>
      </w:r>
      <w:r w:rsidR="00167E9E" w:rsidRPr="0000207F">
        <w:rPr>
          <w:szCs w:val="20"/>
        </w:rPr>
        <w:t>ικό ενεργητικό μειώθηκε</w:t>
      </w:r>
      <w:r w:rsidR="0000207F" w:rsidRPr="0000207F">
        <w:rPr>
          <w:szCs w:val="20"/>
        </w:rPr>
        <w:t xml:space="preserve"> </w:t>
      </w:r>
      <w:r w:rsidR="00167E9E" w:rsidRPr="0000207F">
        <w:rPr>
          <w:szCs w:val="20"/>
        </w:rPr>
        <w:t>κατά</w:t>
      </w:r>
      <w:r w:rsidR="005E4840" w:rsidRPr="0000207F">
        <w:rPr>
          <w:szCs w:val="20"/>
        </w:rPr>
        <w:t xml:space="preserve"> </w:t>
      </w:r>
      <w:r w:rsidR="00B769FF">
        <w:rPr>
          <w:szCs w:val="20"/>
        </w:rPr>
        <w:t>2,0</w:t>
      </w:r>
      <w:r w:rsidR="005E4840" w:rsidRPr="0000207F">
        <w:rPr>
          <w:szCs w:val="20"/>
        </w:rPr>
        <w:t>%</w:t>
      </w:r>
      <w:r w:rsidR="0000207F" w:rsidRPr="0000207F">
        <w:rPr>
          <w:szCs w:val="20"/>
        </w:rPr>
        <w:t xml:space="preserve"> το 2018,</w:t>
      </w:r>
      <w:r w:rsidRPr="0000207F">
        <w:rPr>
          <w:szCs w:val="20"/>
        </w:rPr>
        <w:t xml:space="preserve"> ενώ τα ίδια κεφάλ</w:t>
      </w:r>
      <w:r w:rsidR="00362ADE" w:rsidRPr="0000207F">
        <w:rPr>
          <w:szCs w:val="20"/>
        </w:rPr>
        <w:t>αια κατέγραψαν</w:t>
      </w:r>
      <w:r w:rsidR="005E4840" w:rsidRPr="0000207F">
        <w:rPr>
          <w:szCs w:val="20"/>
        </w:rPr>
        <w:t xml:space="preserve"> σημαντική μείωση (-21,1%).</w:t>
      </w:r>
      <w:r w:rsidR="00362ADE" w:rsidRPr="0000207F">
        <w:rPr>
          <w:szCs w:val="20"/>
        </w:rPr>
        <w:t xml:space="preserve"> </w:t>
      </w:r>
    </w:p>
    <w:p w14:paraId="1AA282DF" w14:textId="77777777" w:rsidR="00DE2996" w:rsidRPr="00D25879" w:rsidRDefault="00DE2996" w:rsidP="00862C87">
      <w:pPr>
        <w:suppressAutoHyphens/>
        <w:spacing w:line="360" w:lineRule="auto"/>
        <w:rPr>
          <w:szCs w:val="20"/>
          <w:highlight w:val="yellow"/>
        </w:rPr>
      </w:pPr>
    </w:p>
    <w:p w14:paraId="6783532A" w14:textId="77777777" w:rsidR="00FF3E00" w:rsidRPr="00D72CAD" w:rsidRDefault="00FF3E00" w:rsidP="00B96C69">
      <w:pPr>
        <w:suppressAutoHyphens/>
        <w:spacing w:line="360" w:lineRule="auto"/>
        <w:ind w:firstLine="720"/>
        <w:rPr>
          <w:szCs w:val="20"/>
        </w:rPr>
      </w:pPr>
      <w:r w:rsidRPr="00D72CAD">
        <w:rPr>
          <w:szCs w:val="20"/>
        </w:rPr>
        <w:t xml:space="preserve">Αύξηση των εσόδων και βελτίωση </w:t>
      </w:r>
      <w:r w:rsidR="00BF7785" w:rsidRPr="00D72CAD">
        <w:rPr>
          <w:szCs w:val="20"/>
        </w:rPr>
        <w:t>της κερδοφορίας</w:t>
      </w:r>
      <w:r w:rsidR="00ED7312" w:rsidRPr="00D72CAD">
        <w:rPr>
          <w:szCs w:val="20"/>
        </w:rPr>
        <w:t xml:space="preserve"> παρουσίασε ο κλάδος των </w:t>
      </w:r>
      <w:r w:rsidR="002F47C9" w:rsidRPr="00D72CAD">
        <w:rPr>
          <w:b/>
          <w:szCs w:val="20"/>
        </w:rPr>
        <w:t>ασφαλειών</w:t>
      </w:r>
      <w:r w:rsidRPr="00D72CAD">
        <w:rPr>
          <w:szCs w:val="20"/>
        </w:rPr>
        <w:t>. Συγκεκριμένα</w:t>
      </w:r>
      <w:r w:rsidR="00D25DC6">
        <w:rPr>
          <w:szCs w:val="20"/>
        </w:rPr>
        <w:t>,</w:t>
      </w:r>
      <w:r w:rsidRPr="00D72CAD">
        <w:rPr>
          <w:szCs w:val="20"/>
        </w:rPr>
        <w:t xml:space="preserve"> τα συνολικά έσοδα 168 επιχειρήσεων του τομέα αυξήθηκαν κατά 5,</w:t>
      </w:r>
      <w:r w:rsidR="0038572C">
        <w:rPr>
          <w:szCs w:val="20"/>
        </w:rPr>
        <w:t>9</w:t>
      </w:r>
      <w:r w:rsidRPr="00D72CAD">
        <w:rPr>
          <w:szCs w:val="20"/>
        </w:rPr>
        <w:t xml:space="preserve">% το 2018/2017, τα δε </w:t>
      </w:r>
      <w:r w:rsidR="008702C9">
        <w:rPr>
          <w:szCs w:val="20"/>
        </w:rPr>
        <w:t>μεικτ</w:t>
      </w:r>
      <w:r w:rsidRPr="00D72CAD">
        <w:rPr>
          <w:szCs w:val="20"/>
        </w:rPr>
        <w:t>ά κέρδη διευρύνθηκαν με ελαφρώς υψηλότερο ρυθμό (8,</w:t>
      </w:r>
      <w:r w:rsidR="0038572C">
        <w:rPr>
          <w:szCs w:val="20"/>
        </w:rPr>
        <w:t>2</w:t>
      </w:r>
      <w:r w:rsidRPr="00D72CAD">
        <w:rPr>
          <w:szCs w:val="20"/>
        </w:rPr>
        <w:t>%). Αντίστοιχη εξέλιξη χαρακτήρισε τόσο</w:t>
      </w:r>
      <w:r w:rsidR="0038572C">
        <w:rPr>
          <w:szCs w:val="20"/>
        </w:rPr>
        <w:t xml:space="preserve"> το συνολικό </w:t>
      </w:r>
      <w:r w:rsidRPr="00D72CAD">
        <w:rPr>
          <w:szCs w:val="20"/>
        </w:rPr>
        <w:t>λειτουργικ</w:t>
      </w:r>
      <w:r w:rsidR="0038572C">
        <w:rPr>
          <w:szCs w:val="20"/>
        </w:rPr>
        <w:t>ό αποτέλεσμα</w:t>
      </w:r>
      <w:r w:rsidRPr="00D72CAD">
        <w:rPr>
          <w:szCs w:val="20"/>
        </w:rPr>
        <w:t xml:space="preserve"> (αύξηση 8,5%) όσο και το τελικό καθαρό αποτέλεσμα</w:t>
      </w:r>
      <w:r w:rsidR="00D72CAD" w:rsidRPr="00D72CAD">
        <w:rPr>
          <w:szCs w:val="20"/>
        </w:rPr>
        <w:t xml:space="preserve"> (αύξηση 8,2%). </w:t>
      </w:r>
      <w:r w:rsidRPr="00D72CAD">
        <w:rPr>
          <w:szCs w:val="20"/>
        </w:rPr>
        <w:t>Ειδικότερα, το 2018 τα καθαρά κέρδη διαμορφώθηκαν στο ποσό των €444,8</w:t>
      </w:r>
      <w:r w:rsidR="0038572C">
        <w:rPr>
          <w:szCs w:val="20"/>
        </w:rPr>
        <w:t>4</w:t>
      </w:r>
      <w:r w:rsidRPr="00D72CAD">
        <w:rPr>
          <w:szCs w:val="20"/>
        </w:rPr>
        <w:t xml:space="preserve"> εκ. από €410,9</w:t>
      </w:r>
      <w:r w:rsidR="0038572C">
        <w:rPr>
          <w:szCs w:val="20"/>
        </w:rPr>
        <w:t>8</w:t>
      </w:r>
      <w:r w:rsidRPr="00D72CAD">
        <w:rPr>
          <w:szCs w:val="20"/>
        </w:rPr>
        <w:t xml:space="preserve"> εκ. το 2017.</w:t>
      </w:r>
    </w:p>
    <w:p w14:paraId="341A6E44" w14:textId="77777777" w:rsidR="00D050CC" w:rsidRPr="00D72CAD" w:rsidRDefault="002F47C9" w:rsidP="00DF7EBD">
      <w:pPr>
        <w:suppressAutoHyphens/>
        <w:spacing w:line="360" w:lineRule="auto"/>
        <w:rPr>
          <w:szCs w:val="20"/>
        </w:rPr>
      </w:pPr>
      <w:r w:rsidRPr="00D72CAD">
        <w:rPr>
          <w:szCs w:val="20"/>
        </w:rPr>
        <w:t>Περαιτέρω, τα συνολικά κεφάλαια</w:t>
      </w:r>
      <w:r w:rsidR="00BB4B2C" w:rsidRPr="00D72CAD">
        <w:rPr>
          <w:szCs w:val="20"/>
        </w:rPr>
        <w:t xml:space="preserve"> ενισχύθηκαν</w:t>
      </w:r>
      <w:r w:rsidR="00E17227" w:rsidRPr="00D72CAD">
        <w:rPr>
          <w:szCs w:val="20"/>
        </w:rPr>
        <w:t xml:space="preserve"> κατά</w:t>
      </w:r>
      <w:r w:rsidR="0038572C">
        <w:rPr>
          <w:szCs w:val="20"/>
        </w:rPr>
        <w:t xml:space="preserve"> 4,1%</w:t>
      </w:r>
      <w:r w:rsidR="00BB4B2C" w:rsidRPr="00D72CAD">
        <w:rPr>
          <w:szCs w:val="20"/>
        </w:rPr>
        <w:t xml:space="preserve"> ανερχόμενα σε</w:t>
      </w:r>
      <w:r w:rsidR="00FF3E00" w:rsidRPr="00D72CAD">
        <w:rPr>
          <w:szCs w:val="20"/>
        </w:rPr>
        <w:t xml:space="preserve"> €17,1</w:t>
      </w:r>
      <w:r w:rsidR="00BB4B2C" w:rsidRPr="00D72CAD">
        <w:rPr>
          <w:szCs w:val="20"/>
        </w:rPr>
        <w:t xml:space="preserve"> δισ.</w:t>
      </w:r>
      <w:r w:rsidR="00FF3E00" w:rsidRPr="00D72CAD">
        <w:rPr>
          <w:szCs w:val="20"/>
        </w:rPr>
        <w:t xml:space="preserve"> το 2018. </w:t>
      </w:r>
      <w:r w:rsidR="00D050CC" w:rsidRPr="00D72CAD">
        <w:rPr>
          <w:szCs w:val="20"/>
        </w:rPr>
        <w:t>Αντιθέτως, τα ίδια κεφάλαια του τομέα συρρικνώθηκαν κατά</w:t>
      </w:r>
      <w:r w:rsidR="0038572C">
        <w:rPr>
          <w:szCs w:val="20"/>
        </w:rPr>
        <w:t xml:space="preserve"> 4% περίπου </w:t>
      </w:r>
      <w:r w:rsidR="00D050CC" w:rsidRPr="00D72CAD">
        <w:rPr>
          <w:szCs w:val="20"/>
        </w:rPr>
        <w:t xml:space="preserve">την ίδια περίοδο. </w:t>
      </w:r>
    </w:p>
    <w:p w14:paraId="7504F1C7" w14:textId="77777777" w:rsidR="00AF1B13" w:rsidRPr="00D25879" w:rsidRDefault="00AF1B13" w:rsidP="00862C87">
      <w:pPr>
        <w:suppressAutoHyphens/>
        <w:spacing w:line="360" w:lineRule="auto"/>
        <w:rPr>
          <w:szCs w:val="20"/>
          <w:highlight w:val="yellow"/>
        </w:rPr>
      </w:pPr>
    </w:p>
    <w:p w14:paraId="59BC5FA5" w14:textId="77777777" w:rsidR="008F26AF" w:rsidRPr="008433B5" w:rsidRDefault="00981EC4" w:rsidP="00B96C69">
      <w:pPr>
        <w:suppressAutoHyphens/>
        <w:spacing w:line="360" w:lineRule="auto"/>
        <w:ind w:firstLine="720"/>
        <w:rPr>
          <w:szCs w:val="20"/>
        </w:rPr>
      </w:pPr>
      <w:r w:rsidRPr="008433B5">
        <w:rPr>
          <w:szCs w:val="20"/>
        </w:rPr>
        <w:t xml:space="preserve">Τέλος, </w:t>
      </w:r>
      <w:r w:rsidR="00BC2DAC" w:rsidRPr="008433B5">
        <w:rPr>
          <w:szCs w:val="20"/>
        </w:rPr>
        <w:t>ζημιογόνος</w:t>
      </w:r>
      <w:r w:rsidR="00CE4EFE" w:rsidRPr="008433B5">
        <w:rPr>
          <w:szCs w:val="20"/>
        </w:rPr>
        <w:t xml:space="preserve"> κατέστη</w:t>
      </w:r>
      <w:r w:rsidR="00BC2DAC" w:rsidRPr="008433B5">
        <w:rPr>
          <w:szCs w:val="20"/>
        </w:rPr>
        <w:t xml:space="preserve"> το 2018</w:t>
      </w:r>
      <w:r w:rsidR="00803EEB" w:rsidRPr="008433B5">
        <w:rPr>
          <w:szCs w:val="20"/>
        </w:rPr>
        <w:t xml:space="preserve"> ο σύνθετος κλάδος των </w:t>
      </w:r>
      <w:r w:rsidR="00803EEB" w:rsidRPr="008433B5">
        <w:rPr>
          <w:b/>
          <w:szCs w:val="20"/>
        </w:rPr>
        <w:t xml:space="preserve">λοιπών χρηματοπιστωτικών υπηρεσιών, </w:t>
      </w:r>
      <w:r w:rsidR="008F26AF" w:rsidRPr="008433B5">
        <w:rPr>
          <w:szCs w:val="20"/>
        </w:rPr>
        <w:t>που περιλαμβάνει</w:t>
      </w:r>
      <w:r w:rsidR="00BC2DAC" w:rsidRPr="008433B5">
        <w:rPr>
          <w:szCs w:val="20"/>
        </w:rPr>
        <w:t xml:space="preserve"> 264</w:t>
      </w:r>
      <w:r w:rsidR="002F47C9" w:rsidRPr="008433B5">
        <w:rPr>
          <w:szCs w:val="20"/>
        </w:rPr>
        <w:t xml:space="preserve"> επιχειρήσεις προερχόμενες από κλάδους συμμετοχών, χρηματοδοτικής μίσθωσης, χρηματιστηριακών συναλλαγών, </w:t>
      </w:r>
      <w:r w:rsidR="002F47C9" w:rsidRPr="008433B5">
        <w:rPr>
          <w:szCs w:val="20"/>
          <w:lang w:val="en-US"/>
        </w:rPr>
        <w:t>factoring</w:t>
      </w:r>
      <w:r w:rsidR="002F47C9" w:rsidRPr="008433B5">
        <w:rPr>
          <w:szCs w:val="20"/>
        </w:rPr>
        <w:t>, κ.ά.</w:t>
      </w:r>
    </w:p>
    <w:p w14:paraId="2AAE1CA0" w14:textId="77777777" w:rsidR="00BC2DAC" w:rsidRPr="008433B5" w:rsidRDefault="002F47C9" w:rsidP="00B96C69">
      <w:pPr>
        <w:suppressAutoHyphens/>
        <w:spacing w:line="360" w:lineRule="auto"/>
        <w:rPr>
          <w:szCs w:val="20"/>
        </w:rPr>
      </w:pPr>
      <w:r w:rsidRPr="008433B5">
        <w:rPr>
          <w:szCs w:val="20"/>
        </w:rPr>
        <w:t>Ο συνολικός κύκλος εργασιών</w:t>
      </w:r>
      <w:r w:rsidR="009923EE" w:rsidRPr="008433B5">
        <w:rPr>
          <w:szCs w:val="20"/>
        </w:rPr>
        <w:t xml:space="preserve"> τους </w:t>
      </w:r>
      <w:r w:rsidR="00BC2DAC" w:rsidRPr="008433B5">
        <w:rPr>
          <w:szCs w:val="20"/>
        </w:rPr>
        <w:t>αυξήθηκε</w:t>
      </w:r>
      <w:r w:rsidR="007909F3" w:rsidRPr="008433B5">
        <w:rPr>
          <w:szCs w:val="20"/>
        </w:rPr>
        <w:t xml:space="preserve"> κατά</w:t>
      </w:r>
      <w:r w:rsidR="00BC2DAC" w:rsidRPr="008433B5">
        <w:rPr>
          <w:szCs w:val="20"/>
        </w:rPr>
        <w:t xml:space="preserve"> 2,6%</w:t>
      </w:r>
      <w:r w:rsidR="00803EEB" w:rsidRPr="008433B5">
        <w:rPr>
          <w:szCs w:val="20"/>
        </w:rPr>
        <w:t xml:space="preserve"> και διαμορφώθηκε </w:t>
      </w:r>
      <w:r w:rsidR="007909F3" w:rsidRPr="008433B5">
        <w:rPr>
          <w:szCs w:val="20"/>
        </w:rPr>
        <w:t>σε</w:t>
      </w:r>
      <w:r w:rsidR="006B2FA1" w:rsidRPr="008433B5">
        <w:rPr>
          <w:szCs w:val="20"/>
        </w:rPr>
        <w:t xml:space="preserve"> €</w:t>
      </w:r>
      <w:r w:rsidR="00BC2DAC" w:rsidRPr="008433B5">
        <w:rPr>
          <w:szCs w:val="20"/>
        </w:rPr>
        <w:t>626,5</w:t>
      </w:r>
      <w:r w:rsidR="007909F3" w:rsidRPr="008433B5">
        <w:rPr>
          <w:szCs w:val="20"/>
        </w:rPr>
        <w:t xml:space="preserve"> εκ. το 201</w:t>
      </w:r>
      <w:r w:rsidR="00BC2DAC" w:rsidRPr="008433B5">
        <w:rPr>
          <w:szCs w:val="20"/>
        </w:rPr>
        <w:t>8</w:t>
      </w:r>
      <w:r w:rsidR="002D5A5A" w:rsidRPr="008433B5">
        <w:rPr>
          <w:szCs w:val="20"/>
        </w:rPr>
        <w:t>,</w:t>
      </w:r>
      <w:r w:rsidR="007909F3" w:rsidRPr="008433B5">
        <w:rPr>
          <w:szCs w:val="20"/>
        </w:rPr>
        <w:t xml:space="preserve"> ενώ τα μεικτά κέρδη αυξήθηκαν</w:t>
      </w:r>
      <w:r w:rsidR="00BC2DAC" w:rsidRPr="008433B5">
        <w:rPr>
          <w:szCs w:val="20"/>
        </w:rPr>
        <w:t xml:space="preserve"> εντυπωσιακά κατά 21,5%. Ωστόσο</w:t>
      </w:r>
      <w:r w:rsidR="00FA669C">
        <w:rPr>
          <w:szCs w:val="20"/>
        </w:rPr>
        <w:t>,</w:t>
      </w:r>
      <w:r w:rsidR="00BC2DAC" w:rsidRPr="008433B5">
        <w:rPr>
          <w:szCs w:val="20"/>
        </w:rPr>
        <w:t xml:space="preserve"> η σημαντικότατη αύξηση των λειτουργικών δαπανών κατά 41,6%</w:t>
      </w:r>
      <w:r w:rsidR="00731FA7">
        <w:rPr>
          <w:szCs w:val="20"/>
        </w:rPr>
        <w:t>,</w:t>
      </w:r>
      <w:r w:rsidR="00BC2DAC" w:rsidRPr="008433B5">
        <w:rPr>
          <w:szCs w:val="20"/>
        </w:rPr>
        <w:t xml:space="preserve"> </w:t>
      </w:r>
      <w:r w:rsidR="00D71651">
        <w:rPr>
          <w:szCs w:val="20"/>
        </w:rPr>
        <w:t>παράλληλα</w:t>
      </w:r>
      <w:r w:rsidR="00BA2C64">
        <w:rPr>
          <w:szCs w:val="20"/>
        </w:rPr>
        <w:t xml:space="preserve"> με τη δραστική μείωση των λειτουργικών εσόδων (-50,6%), </w:t>
      </w:r>
      <w:r w:rsidR="00BC2DAC" w:rsidRPr="008433B5">
        <w:rPr>
          <w:szCs w:val="20"/>
        </w:rPr>
        <w:t>είχ</w:t>
      </w:r>
      <w:r w:rsidR="00BA2C64">
        <w:rPr>
          <w:szCs w:val="20"/>
        </w:rPr>
        <w:t>αν</w:t>
      </w:r>
      <w:r w:rsidR="00BC2DAC" w:rsidRPr="008433B5">
        <w:rPr>
          <w:szCs w:val="20"/>
        </w:rPr>
        <w:t xml:space="preserve"> σαν αποτέλεσμα την κατακόρυφη μείωση των λειτουργικών αποτελεσμάτων. Το γεγονός αυτό σε συνδυασμό με τη διαμόρφωση αρνητικού μη λειτουργικού αποτελέσματος</w:t>
      </w:r>
      <w:r w:rsidR="00D93806" w:rsidRPr="008433B5">
        <w:rPr>
          <w:szCs w:val="20"/>
        </w:rPr>
        <w:t xml:space="preserve"> (και τα δύο έτη) </w:t>
      </w:r>
      <w:r w:rsidR="00BC2DAC" w:rsidRPr="008433B5">
        <w:rPr>
          <w:szCs w:val="20"/>
        </w:rPr>
        <w:t>οδήγησε στην καταγραφή ζημιών το 2018 ύψους €103,1 εκ. από κέρδη ποσού €408,</w:t>
      </w:r>
      <w:r w:rsidR="00FA669C">
        <w:rPr>
          <w:szCs w:val="20"/>
        </w:rPr>
        <w:t>5</w:t>
      </w:r>
      <w:r w:rsidR="00BC2DAC" w:rsidRPr="008433B5">
        <w:rPr>
          <w:szCs w:val="20"/>
        </w:rPr>
        <w:t xml:space="preserve"> εκ. το 2017. </w:t>
      </w:r>
    </w:p>
    <w:p w14:paraId="748CFE3D" w14:textId="152FD883" w:rsidR="00BC2DAC" w:rsidRDefault="002B04A1" w:rsidP="00862C87">
      <w:pPr>
        <w:suppressAutoHyphens/>
        <w:spacing w:line="360" w:lineRule="auto"/>
        <w:rPr>
          <w:szCs w:val="20"/>
        </w:rPr>
      </w:pPr>
      <w:r w:rsidRPr="008433B5">
        <w:rPr>
          <w:szCs w:val="20"/>
        </w:rPr>
        <w:t>Από</w:t>
      </w:r>
      <w:r w:rsidR="00BC2DAC" w:rsidRPr="008433B5">
        <w:rPr>
          <w:szCs w:val="20"/>
        </w:rPr>
        <w:t xml:space="preserve"> </w:t>
      </w:r>
      <w:r w:rsidRPr="008433B5">
        <w:rPr>
          <w:szCs w:val="20"/>
        </w:rPr>
        <w:t>πλευρά</w:t>
      </w:r>
      <w:r w:rsidR="00BC2DAC" w:rsidRPr="008433B5">
        <w:rPr>
          <w:szCs w:val="20"/>
        </w:rPr>
        <w:t xml:space="preserve">ς </w:t>
      </w:r>
      <w:r w:rsidRPr="008433B5">
        <w:rPr>
          <w:szCs w:val="20"/>
        </w:rPr>
        <w:t>ισολογισμού</w:t>
      </w:r>
      <w:r w:rsidR="004958E8" w:rsidRPr="008433B5">
        <w:rPr>
          <w:szCs w:val="20"/>
        </w:rPr>
        <w:t>,</w:t>
      </w:r>
      <w:r w:rsidRPr="008433B5">
        <w:rPr>
          <w:szCs w:val="20"/>
        </w:rPr>
        <w:t xml:space="preserve"> </w:t>
      </w:r>
      <w:r w:rsidR="00BC2DAC" w:rsidRPr="008433B5">
        <w:rPr>
          <w:szCs w:val="20"/>
        </w:rPr>
        <w:t xml:space="preserve">σημειώνεται η μείωση των συνολικών κεφαλαίων κατά 2,2% ενώ τα ίδια κεφάλαια συρρικνώθηκαν με υψηλότερο ρυθμό (-9,2%). </w:t>
      </w:r>
    </w:p>
    <w:p w14:paraId="6791DEBF" w14:textId="621B3853" w:rsidR="00CC1CDA" w:rsidRDefault="00CC1CDA" w:rsidP="00862C87">
      <w:pPr>
        <w:suppressAutoHyphens/>
        <w:spacing w:line="360" w:lineRule="auto"/>
        <w:rPr>
          <w:szCs w:val="20"/>
        </w:rPr>
      </w:pPr>
    </w:p>
    <w:p w14:paraId="09C12E8D" w14:textId="77777777" w:rsidR="00CC1CDA" w:rsidRDefault="00CC1CDA" w:rsidP="00CC1CDA">
      <w:pPr>
        <w:rPr>
          <w:b/>
          <w:sz w:val="24"/>
        </w:rPr>
      </w:pPr>
      <w:r>
        <w:rPr>
          <w:rFonts w:cs="Arial"/>
          <w:b/>
          <w:sz w:val="24"/>
        </w:rPr>
        <w:t xml:space="preserve">ΔΗΛΩΣΗ </w:t>
      </w:r>
      <w:r w:rsidRPr="004A4B9A">
        <w:rPr>
          <w:b/>
          <w:sz w:val="24"/>
        </w:rPr>
        <w:t xml:space="preserve">Νικήτα </w:t>
      </w:r>
      <w:proofErr w:type="spellStart"/>
      <w:r w:rsidRPr="004A4B9A">
        <w:rPr>
          <w:b/>
          <w:sz w:val="24"/>
        </w:rPr>
        <w:t>Κωνσταντέλλου</w:t>
      </w:r>
      <w:proofErr w:type="spellEnd"/>
      <w:r>
        <w:rPr>
          <w:b/>
          <w:sz w:val="24"/>
        </w:rPr>
        <w:t xml:space="preserve">, </w:t>
      </w:r>
    </w:p>
    <w:p w14:paraId="36C51BA9" w14:textId="5DCFD8E8" w:rsidR="00CC1CDA" w:rsidRPr="004A4B9A" w:rsidRDefault="00CC1CDA" w:rsidP="00CC1CDA">
      <w:pPr>
        <w:rPr>
          <w:b/>
          <w:sz w:val="24"/>
        </w:rPr>
      </w:pPr>
      <w:r w:rsidRPr="004A4B9A">
        <w:rPr>
          <w:b/>
          <w:sz w:val="24"/>
        </w:rPr>
        <w:t xml:space="preserve">Προέδρου και Διευθύνοντος Συμβούλου </w:t>
      </w:r>
      <w:r>
        <w:rPr>
          <w:b/>
          <w:sz w:val="24"/>
        </w:rPr>
        <w:t xml:space="preserve">του </w:t>
      </w:r>
      <w:r w:rsidRPr="004A4B9A">
        <w:rPr>
          <w:b/>
          <w:sz w:val="24"/>
        </w:rPr>
        <w:t xml:space="preserve">Ομίλου Εταιρειών ICAP </w:t>
      </w:r>
    </w:p>
    <w:p w14:paraId="4CA4035B" w14:textId="063A9AE2" w:rsidR="00CC1CDA" w:rsidRPr="00CC1CDA" w:rsidRDefault="00CC1CDA" w:rsidP="00CC1CDA">
      <w:pPr>
        <w:rPr>
          <w:szCs w:val="20"/>
        </w:rPr>
      </w:pPr>
      <w:r w:rsidRPr="004A4B9A">
        <w:rPr>
          <w:sz w:val="24"/>
          <w:shd w:val="clear" w:color="auto" w:fill="FFFF00"/>
        </w:rPr>
        <w:br/>
      </w:r>
      <w:r w:rsidRPr="00CC1CDA">
        <w:rPr>
          <w:szCs w:val="20"/>
        </w:rPr>
        <w:t xml:space="preserve">Η ήπια ανάκαμψη της ελληνικής οικονομίας την τριετία 2017-2019 έχει επιδράσει θετικά στον εταιρικό τομέα της χώρας, οι επιδόσεις του οποίου ήταν αξιόλογες και το 2018. Πράγματι, οι ελληνικές επιχειρήσεις κατάφεραν να ενισχύσουν περαιτέρω την ανταγωνιστικότητά τους και να βελτιώσουν τα αποτελέσματά τους για </w:t>
      </w:r>
      <w:r w:rsidRPr="00CC1CDA">
        <w:rPr>
          <w:b/>
          <w:bCs/>
          <w:szCs w:val="20"/>
        </w:rPr>
        <w:t xml:space="preserve">τέταρτη </w:t>
      </w:r>
      <w:r w:rsidRPr="00CC1CDA">
        <w:rPr>
          <w:szCs w:val="20"/>
        </w:rPr>
        <w:t>συνεχόμενη χρονιά.</w:t>
      </w:r>
    </w:p>
    <w:p w14:paraId="4B21A8A7" w14:textId="77777777" w:rsidR="00CC1CDA" w:rsidRPr="00CC1CDA" w:rsidRDefault="00CC1CDA" w:rsidP="00CC1CDA">
      <w:pPr>
        <w:rPr>
          <w:szCs w:val="20"/>
        </w:rPr>
      </w:pPr>
    </w:p>
    <w:p w14:paraId="462D0E2C" w14:textId="11549497" w:rsidR="00CC1CDA" w:rsidRPr="00CC1CDA" w:rsidRDefault="00CC1CDA" w:rsidP="00CC1CDA">
      <w:pPr>
        <w:rPr>
          <w:rStyle w:val="Strong"/>
          <w:b w:val="0"/>
          <w:szCs w:val="20"/>
        </w:rPr>
      </w:pPr>
      <w:r w:rsidRPr="00CC1CDA">
        <w:rPr>
          <w:szCs w:val="20"/>
        </w:rPr>
        <w:t xml:space="preserve">Από τα ομαδοποιημένα αποτελέσματα ενός μεγάλου δείγματος </w:t>
      </w:r>
      <w:r w:rsidRPr="00CC1CDA">
        <w:rPr>
          <w:rStyle w:val="Strong"/>
          <w:szCs w:val="20"/>
        </w:rPr>
        <w:t>15.168</w:t>
      </w:r>
      <w:r w:rsidRPr="00CC1CDA">
        <w:rPr>
          <w:szCs w:val="20"/>
        </w:rPr>
        <w:t xml:space="preserve"> ελληνικών επιχειρήσεων (εκτός Τραπεζών-Ασφαλειών), διαπιστώνεται ότι το </w:t>
      </w:r>
      <w:r w:rsidRPr="00CC1CDA">
        <w:rPr>
          <w:rStyle w:val="Strong"/>
          <w:szCs w:val="20"/>
        </w:rPr>
        <w:t xml:space="preserve">2018 οι εταιρείες, στο σύνολό τους, πέτυχαν  αύξηση του κύκλου εργασιών τους και σημαντική διεύρυνση της καθαρής κερδοφορίας τους. Ειδικότερα, ο κύκλος εργασιών του συνόλου των εταιρειών αυξήθηκε κατά 9,8% ανερχόμενος σε €154,6 δισ., τα δε καθαρά κέρδη διαμορφώθηκαν στο ποσό των €6,2 δισ. αυξημένα κατά 23% περίπου έναντι της προηγούμενης χρήσης.  </w:t>
      </w:r>
    </w:p>
    <w:p w14:paraId="49859742" w14:textId="77777777" w:rsidR="00CC1CDA" w:rsidRPr="00CC1CDA" w:rsidRDefault="00CC1CDA" w:rsidP="00CC1CDA">
      <w:pPr>
        <w:rPr>
          <w:rStyle w:val="Strong"/>
          <w:b w:val="0"/>
          <w:szCs w:val="20"/>
        </w:rPr>
      </w:pPr>
    </w:p>
    <w:p w14:paraId="2508A0AF" w14:textId="246D7E13" w:rsidR="00CC1CDA" w:rsidRPr="00CC1CDA" w:rsidRDefault="00CC1CDA" w:rsidP="00CC1CDA">
      <w:pPr>
        <w:rPr>
          <w:szCs w:val="20"/>
        </w:rPr>
      </w:pPr>
      <w:r w:rsidRPr="00CC1CDA">
        <w:rPr>
          <w:szCs w:val="20"/>
        </w:rPr>
        <w:t xml:space="preserve">Θετικότερα είναι τα μηνύματα για τις ελληνικές επιχειρήσεις και για τη χρήση του </w:t>
      </w:r>
      <w:r w:rsidRPr="00CC1CDA">
        <w:rPr>
          <w:b/>
          <w:bCs/>
          <w:szCs w:val="20"/>
        </w:rPr>
        <w:t>2019,</w:t>
      </w:r>
      <w:r w:rsidRPr="00CC1CDA">
        <w:rPr>
          <w:szCs w:val="20"/>
        </w:rPr>
        <w:t xml:space="preserve"> καθώς από τα οικονομικά αποτελέσματα </w:t>
      </w:r>
      <w:r w:rsidRPr="00CC1CDA">
        <w:rPr>
          <w:b/>
          <w:bCs/>
          <w:szCs w:val="20"/>
        </w:rPr>
        <w:t xml:space="preserve">164 </w:t>
      </w:r>
      <w:r w:rsidRPr="00CC1CDA">
        <w:rPr>
          <w:szCs w:val="20"/>
        </w:rPr>
        <w:t xml:space="preserve">εταιρειών, που είναι εισηγμένες στο Χρηματιστήριο Αθηνών, προκύπτει αύξηση του </w:t>
      </w:r>
      <w:proofErr w:type="spellStart"/>
      <w:r w:rsidRPr="00CC1CDA">
        <w:rPr>
          <w:szCs w:val="20"/>
        </w:rPr>
        <w:t>κύκλυ</w:t>
      </w:r>
      <w:proofErr w:type="spellEnd"/>
      <w:r w:rsidRPr="00CC1CDA">
        <w:rPr>
          <w:szCs w:val="20"/>
        </w:rPr>
        <w:t xml:space="preserve"> εργασιών τους κατά </w:t>
      </w:r>
      <w:r w:rsidRPr="00CC1CDA">
        <w:rPr>
          <w:b/>
          <w:bCs/>
          <w:szCs w:val="20"/>
        </w:rPr>
        <w:t>2,5%</w:t>
      </w:r>
      <w:r w:rsidRPr="00CC1CDA">
        <w:rPr>
          <w:szCs w:val="20"/>
        </w:rPr>
        <w:t xml:space="preserve"> το πρώτο εξάμηνο του έτους και σημαντική διεύρυνση της κερδοφορίας κατά </w:t>
      </w:r>
      <w:r w:rsidRPr="00CC1CDA">
        <w:rPr>
          <w:b/>
          <w:bCs/>
          <w:szCs w:val="20"/>
        </w:rPr>
        <w:t>117%.</w:t>
      </w:r>
      <w:r w:rsidRPr="00CC1CDA">
        <w:rPr>
          <w:szCs w:val="20"/>
        </w:rPr>
        <w:t xml:space="preserve"> Ακόμα και αν εξαιρεθεί ο τραπεζικός κλάδος που ήταν καθολικά κερδοφόρος, η αύξηση διαμορφώνεται στο ισχυρό 41%.</w:t>
      </w:r>
    </w:p>
    <w:p w14:paraId="57092E04" w14:textId="77777777" w:rsidR="00CC1CDA" w:rsidRPr="00CC1CDA" w:rsidRDefault="00CC1CDA" w:rsidP="00CC1CDA">
      <w:pPr>
        <w:rPr>
          <w:szCs w:val="20"/>
          <w:highlight w:val="yellow"/>
        </w:rPr>
      </w:pPr>
    </w:p>
    <w:p w14:paraId="2E4C025B" w14:textId="7E53ACDF" w:rsidR="00D82692" w:rsidRPr="00D82692" w:rsidRDefault="00D82692" w:rsidP="00D82692">
      <w:pPr>
        <w:rPr>
          <w:szCs w:val="20"/>
        </w:rPr>
      </w:pPr>
      <w:proofErr w:type="spellStart"/>
      <w:r w:rsidRPr="00D82692">
        <w:rPr>
          <w:szCs w:val="20"/>
        </w:rPr>
        <w:t>To</w:t>
      </w:r>
      <w:proofErr w:type="spellEnd"/>
      <w:r w:rsidRPr="00D82692">
        <w:rPr>
          <w:szCs w:val="20"/>
        </w:rPr>
        <w:t xml:space="preserve"> 2020, ενώ ξεκίνησε με καλές προϋποθέσεις, για ανάπτυξη 2.5% και πάνω, η ξαφνική μεγάλη κρίση του </w:t>
      </w:r>
      <w:proofErr w:type="spellStart"/>
      <w:r w:rsidRPr="00D82692">
        <w:rPr>
          <w:szCs w:val="20"/>
        </w:rPr>
        <w:t>κοροναϊού</w:t>
      </w:r>
      <w:proofErr w:type="spellEnd"/>
      <w:r w:rsidRPr="00D82692">
        <w:rPr>
          <w:szCs w:val="20"/>
        </w:rPr>
        <w:t xml:space="preserve">, αλλάζει εντελώς τα δεδομένα με απρόβλεπτες επιπτώσεις. Το πιθανότερο είναι η χρονιά να γυρίσει σε </w:t>
      </w:r>
      <w:r w:rsidRPr="00735603">
        <w:rPr>
          <w:b/>
          <w:bCs/>
          <w:szCs w:val="20"/>
        </w:rPr>
        <w:t>ύφεση (-</w:t>
      </w:r>
      <w:r w:rsidR="00CE3484" w:rsidRPr="00CE3484">
        <w:rPr>
          <w:b/>
          <w:bCs/>
          <w:szCs w:val="20"/>
        </w:rPr>
        <w:t>4</w:t>
      </w:r>
      <w:r w:rsidRPr="00735603">
        <w:rPr>
          <w:b/>
          <w:bCs/>
          <w:szCs w:val="20"/>
        </w:rPr>
        <w:t>% έως -</w:t>
      </w:r>
      <w:r w:rsidR="00CE3484" w:rsidRPr="00CE3484">
        <w:rPr>
          <w:b/>
          <w:bCs/>
          <w:szCs w:val="20"/>
        </w:rPr>
        <w:t>8</w:t>
      </w:r>
      <w:r w:rsidRPr="00735603">
        <w:rPr>
          <w:b/>
          <w:bCs/>
          <w:szCs w:val="20"/>
        </w:rPr>
        <w:t>%)</w:t>
      </w:r>
      <w:r w:rsidRPr="00D82692">
        <w:rPr>
          <w:szCs w:val="20"/>
        </w:rPr>
        <w:t xml:space="preserve"> και να γίνει μια </w:t>
      </w:r>
      <w:r w:rsidRPr="00735603">
        <w:rPr>
          <w:b/>
          <w:bCs/>
          <w:szCs w:val="20"/>
        </w:rPr>
        <w:t xml:space="preserve">αντίστοιχη ανάπτυξη (3% έως </w:t>
      </w:r>
      <w:r w:rsidR="00CE3484" w:rsidRPr="00AD7F5F">
        <w:rPr>
          <w:b/>
          <w:bCs/>
          <w:szCs w:val="20"/>
        </w:rPr>
        <w:t>6</w:t>
      </w:r>
      <w:r w:rsidRPr="00735603">
        <w:rPr>
          <w:b/>
          <w:bCs/>
          <w:szCs w:val="20"/>
        </w:rPr>
        <w:t>%)</w:t>
      </w:r>
      <w:r w:rsidRPr="00D82692">
        <w:rPr>
          <w:szCs w:val="20"/>
        </w:rPr>
        <w:t xml:space="preserve"> το 2021.  </w:t>
      </w:r>
    </w:p>
    <w:p w14:paraId="35033A0C" w14:textId="77777777" w:rsidR="00D82692" w:rsidRPr="00D82692" w:rsidRDefault="00D82692" w:rsidP="00D82692">
      <w:pPr>
        <w:rPr>
          <w:szCs w:val="20"/>
        </w:rPr>
      </w:pPr>
    </w:p>
    <w:p w14:paraId="1637447E" w14:textId="3B4E04B4" w:rsidR="00CC1CDA" w:rsidRPr="00375D1E" w:rsidRDefault="00D82692" w:rsidP="00D82692">
      <w:pPr>
        <w:rPr>
          <w:sz w:val="24"/>
          <w:highlight w:val="cyan"/>
        </w:rPr>
      </w:pPr>
      <w:r w:rsidRPr="00D82692">
        <w:rPr>
          <w:szCs w:val="20"/>
        </w:rPr>
        <w:t xml:space="preserve">Μέσα λοιπόν στις τεράστιες δυσκολίες του </w:t>
      </w:r>
      <w:proofErr w:type="spellStart"/>
      <w:r w:rsidRPr="00D82692">
        <w:rPr>
          <w:szCs w:val="20"/>
        </w:rPr>
        <w:t>lockdown</w:t>
      </w:r>
      <w:proofErr w:type="spellEnd"/>
      <w:r w:rsidRPr="00D82692">
        <w:rPr>
          <w:szCs w:val="20"/>
        </w:rPr>
        <w:t xml:space="preserve">, οι ελληνικές εταιρείες καλούνται </w:t>
      </w:r>
      <w:r w:rsidRPr="00735603">
        <w:rPr>
          <w:b/>
          <w:bCs/>
          <w:szCs w:val="20"/>
        </w:rPr>
        <w:t xml:space="preserve">για άλλη μια φορά </w:t>
      </w:r>
      <w:r w:rsidRPr="00D82692">
        <w:rPr>
          <w:szCs w:val="20"/>
        </w:rPr>
        <w:t>να διαχειριστούν μία έντονη κρίση. Πιστεύοντας, ότι οι Έλληνες CEO</w:t>
      </w:r>
      <w:r w:rsidR="00F819DC">
        <w:rPr>
          <w:szCs w:val="20"/>
          <w:lang w:val="en-US"/>
        </w:rPr>
        <w:t>s</w:t>
      </w:r>
      <w:r w:rsidRPr="00D82692">
        <w:rPr>
          <w:szCs w:val="20"/>
        </w:rPr>
        <w:t xml:space="preserve"> οι οποίοι είναι υψηλού επιπέδου και έχουν πλέον πολύ μεγάλη εμπειρία στη διαχείριση κρίσεων, </w:t>
      </w:r>
      <w:r w:rsidRPr="00735603">
        <w:rPr>
          <w:b/>
          <w:bCs/>
          <w:szCs w:val="20"/>
        </w:rPr>
        <w:t>θα τα καταφέρουν</w:t>
      </w:r>
      <w:r w:rsidRPr="00D82692">
        <w:rPr>
          <w:szCs w:val="20"/>
        </w:rPr>
        <w:t>, περιορίζοντας τις απώλειες των εταιρειών τους, στον λιγότερο δυνατόν, βαθμό.</w:t>
      </w:r>
      <w:r w:rsidR="00CC1CDA" w:rsidRPr="004A4B9A">
        <w:rPr>
          <w:sz w:val="24"/>
        </w:rPr>
        <w:t xml:space="preserve"> </w:t>
      </w:r>
    </w:p>
    <w:p w14:paraId="614B64F9" w14:textId="77777777" w:rsidR="00CC1CDA" w:rsidRPr="00CC1CDA" w:rsidRDefault="00CC1CDA" w:rsidP="00CC1CDA">
      <w:pPr>
        <w:pStyle w:val="Default"/>
        <w:rPr>
          <w:sz w:val="32"/>
          <w:szCs w:val="32"/>
          <w:lang w:val="el-GR"/>
        </w:rPr>
      </w:pPr>
    </w:p>
    <w:p w14:paraId="55785D65" w14:textId="4445E61D" w:rsidR="00BD75E7" w:rsidRPr="00CC1CDA" w:rsidRDefault="00BD75E7" w:rsidP="00BD75E7">
      <w:pPr>
        <w:jc w:val="center"/>
        <w:rPr>
          <w:rFonts w:cs="Calibri"/>
          <w:b/>
          <w:color w:val="C45911"/>
          <w:sz w:val="32"/>
          <w:szCs w:val="32"/>
        </w:rPr>
      </w:pPr>
      <w:r w:rsidRPr="00CC1CDA">
        <w:rPr>
          <w:rFonts w:cs="Calibri"/>
          <w:b/>
          <w:noProof/>
          <w:color w:val="C45911"/>
          <w:sz w:val="32"/>
          <w:szCs w:val="32"/>
        </w:rPr>
        <w:t>Δείτε</w:t>
      </w:r>
      <w:r w:rsidRPr="00CC1CDA">
        <w:rPr>
          <w:rFonts w:cs="Calibri"/>
          <w:b/>
          <w:bCs/>
          <w:iCs/>
          <w:color w:val="C45911"/>
          <w:sz w:val="32"/>
          <w:szCs w:val="32"/>
        </w:rPr>
        <w:t xml:space="preserve"> </w:t>
      </w:r>
      <w:hyperlink r:id="rId13" w:history="1">
        <w:r w:rsidRPr="00CC1CDA">
          <w:rPr>
            <w:rStyle w:val="Hyperlink"/>
            <w:rFonts w:cs="Calibri"/>
            <w:b/>
            <w:bCs/>
            <w:iCs/>
            <w:sz w:val="32"/>
            <w:szCs w:val="32"/>
          </w:rPr>
          <w:t>ΕΔΩ</w:t>
        </w:r>
      </w:hyperlink>
      <w:r w:rsidRPr="00CC1CDA">
        <w:rPr>
          <w:rFonts w:cs="Calibri"/>
          <w:b/>
          <w:bCs/>
          <w:iCs/>
          <w:color w:val="C45911"/>
          <w:sz w:val="32"/>
          <w:szCs w:val="32"/>
        </w:rPr>
        <w:t xml:space="preserve"> </w:t>
      </w:r>
      <w:r w:rsidRPr="00CC1CDA">
        <w:rPr>
          <w:rFonts w:cs="Calibri"/>
          <w:b/>
          <w:noProof/>
          <w:color w:val="C45911"/>
          <w:sz w:val="32"/>
          <w:szCs w:val="32"/>
        </w:rPr>
        <w:t>όλα τα Δελτία Τύπου της ICAP.</w:t>
      </w:r>
    </w:p>
    <w:p w14:paraId="05A3DEA3" w14:textId="77777777" w:rsidR="00BD75E7" w:rsidRPr="00CC1CDA" w:rsidRDefault="00BD75E7" w:rsidP="00BD75E7">
      <w:pPr>
        <w:pStyle w:val="NormalWeb"/>
        <w:spacing w:line="270" w:lineRule="atLeast"/>
        <w:rPr>
          <w:rFonts w:cs="Calibri"/>
          <w:sz w:val="32"/>
          <w:szCs w:val="32"/>
          <w:lang w:val="el-GR"/>
        </w:rPr>
      </w:pPr>
    </w:p>
    <w:p w14:paraId="7AA0B8C0" w14:textId="77777777" w:rsidR="00BD75E7" w:rsidRPr="00BD75E7" w:rsidRDefault="00BD75E7" w:rsidP="00BD75E7">
      <w:pPr>
        <w:shd w:val="pct10" w:color="auto" w:fill="auto"/>
        <w:rPr>
          <w:rFonts w:cs="Calibri"/>
          <w:color w:val="1F497D"/>
          <w:szCs w:val="20"/>
        </w:rPr>
      </w:pPr>
      <w:r w:rsidRPr="00BD75E7">
        <w:rPr>
          <w:rFonts w:cs="Calibri"/>
          <w:b/>
          <w:color w:val="000000"/>
          <w:szCs w:val="20"/>
        </w:rPr>
        <w:t xml:space="preserve">Φωτογραφία </w:t>
      </w:r>
    </w:p>
    <w:p w14:paraId="3D716C9E" w14:textId="77777777" w:rsidR="00B35800" w:rsidRDefault="00B35800" w:rsidP="00BD75E7"/>
    <w:p w14:paraId="02DC9E08" w14:textId="12F433BC" w:rsidR="00BD75E7" w:rsidRPr="00BD75E7" w:rsidRDefault="006504A8" w:rsidP="00BD75E7">
      <w:pPr>
        <w:rPr>
          <w:rFonts w:cs="Calibri"/>
          <w:b/>
          <w:noProof/>
          <w:color w:val="000000"/>
          <w:szCs w:val="20"/>
        </w:rPr>
      </w:pPr>
      <w:hyperlink r:id="rId14" w:history="1">
        <w:r w:rsidR="00637329">
          <w:rPr>
            <w:rStyle w:val="Hyperlink"/>
            <w:rFonts w:cs="Calibri"/>
            <w:b/>
            <w:noProof/>
            <w:szCs w:val="20"/>
          </w:rPr>
          <w:t>Νικήτας Κωνσταντέλλος</w:t>
        </w:r>
      </w:hyperlink>
      <w:r w:rsidR="00BD75E7" w:rsidRPr="00BD75E7">
        <w:rPr>
          <w:rFonts w:cs="Calibri"/>
          <w:b/>
          <w:noProof/>
          <w:color w:val="000000"/>
          <w:szCs w:val="20"/>
        </w:rPr>
        <w:t xml:space="preserve">, </w:t>
      </w:r>
      <w:r w:rsidR="000B1194" w:rsidRPr="000B1194">
        <w:rPr>
          <w:rFonts w:cs="Calibri"/>
          <w:b/>
          <w:noProof/>
          <w:color w:val="000000"/>
          <w:szCs w:val="20"/>
        </w:rPr>
        <w:t>Πρόεδρος και Διευθύνων Συμβούλος Ομίλου Εταιρειών ICAP</w:t>
      </w:r>
    </w:p>
    <w:p w14:paraId="21459A3B" w14:textId="77777777" w:rsidR="00CC1CDA" w:rsidRDefault="00CC1CDA" w:rsidP="00CC1CDA">
      <w:pPr>
        <w:jc w:val="left"/>
        <w:rPr>
          <w:rFonts w:cs="Calibri"/>
          <w:b/>
          <w:noProof/>
          <w:color w:val="000000"/>
          <w:szCs w:val="20"/>
        </w:rPr>
      </w:pPr>
    </w:p>
    <w:p w14:paraId="634B5892" w14:textId="0CCCA0E8" w:rsidR="00BD75E7" w:rsidRPr="00BD75E7" w:rsidRDefault="00BD75E7" w:rsidP="00CC1CDA">
      <w:pPr>
        <w:jc w:val="left"/>
        <w:rPr>
          <w:rFonts w:cs="Calibri"/>
          <w:noProof/>
          <w:color w:val="000000"/>
          <w:szCs w:val="20"/>
        </w:rPr>
      </w:pPr>
      <w:r w:rsidRPr="00BD75E7">
        <w:rPr>
          <w:rFonts w:cs="Calibri"/>
          <w:noProof/>
          <w:color w:val="000000"/>
          <w:szCs w:val="20"/>
        </w:rPr>
        <w:t xml:space="preserve">Οι </w:t>
      </w:r>
      <w:hyperlink r:id="rId15" w:history="1">
        <w:r w:rsidRPr="00BD75E7">
          <w:rPr>
            <w:rStyle w:val="Hyperlink"/>
            <w:rFonts w:cs="Calibri"/>
            <w:b/>
            <w:noProof/>
            <w:szCs w:val="20"/>
          </w:rPr>
          <w:t>Εταιρείες ICAP</w:t>
        </w:r>
      </w:hyperlink>
      <w:r w:rsidRPr="00BD75E7">
        <w:rPr>
          <w:rFonts w:cs="Calibri"/>
          <w:noProof/>
          <w:color w:val="000000"/>
          <w:szCs w:val="20"/>
        </w:rPr>
        <w:t xml:space="preserve"> – </w:t>
      </w:r>
      <w:r w:rsidR="000A01B1" w:rsidRPr="000A01B1">
        <w:rPr>
          <w:rFonts w:cs="Calibri"/>
          <w:noProof/>
          <w:color w:val="000000"/>
          <w:szCs w:val="20"/>
        </w:rPr>
        <w:t xml:space="preserve">με 56 χρόνια προσφοράς στο επιχειρηματικό γίγνεσθαι και 1.100 εργαζόμενους – αποτελούν αθροιστικά, έναν από τους μεγαλύτερους Παρόχους B2B υπηρεσιών στη Νοτιοανατολική Ευρώπη, διαθέτοντας μεγάλο εύρος υπηρεσιών και προϊόντων που ομαδοποιούνται σε 3 κατηγορίες: </w:t>
      </w:r>
      <w:r w:rsidR="000A01B1" w:rsidRPr="000A01B1">
        <w:rPr>
          <w:rFonts w:cs="Calibri"/>
          <w:b/>
          <w:bCs/>
          <w:noProof/>
          <w:color w:val="000000"/>
          <w:szCs w:val="20"/>
        </w:rPr>
        <w:t>Credit Risk and Information Services, Human Capital &amp; Outsourcing Solutions και Public Sector Consulting &amp; Development Programs</w:t>
      </w:r>
      <w:r w:rsidRPr="000A01B1">
        <w:rPr>
          <w:rFonts w:cs="Calibri"/>
          <w:b/>
          <w:bCs/>
          <w:noProof/>
          <w:color w:val="000000"/>
          <w:szCs w:val="20"/>
        </w:rPr>
        <w:t>.</w:t>
      </w:r>
    </w:p>
    <w:p w14:paraId="5C91BE91" w14:textId="77777777" w:rsidR="000A01B1" w:rsidRDefault="000A01B1" w:rsidP="00BD75E7">
      <w:pPr>
        <w:rPr>
          <w:rFonts w:cs="Calibri"/>
          <w:szCs w:val="20"/>
        </w:rPr>
      </w:pPr>
    </w:p>
    <w:p w14:paraId="5E48AAB3" w14:textId="4C3CA2A5" w:rsidR="00BD75E7" w:rsidRPr="008D0F16" w:rsidRDefault="006504A8" w:rsidP="00BD75E7">
      <w:pPr>
        <w:rPr>
          <w:rFonts w:cs="Calibri"/>
          <w:b/>
          <w:noProof/>
          <w:color w:val="000000"/>
          <w:szCs w:val="20"/>
        </w:rPr>
      </w:pPr>
      <w:hyperlink r:id="rId16" w:history="1">
        <w:r w:rsidR="00BD75E7" w:rsidRPr="00BD75E7">
          <w:rPr>
            <w:rStyle w:val="Hyperlink"/>
            <w:rFonts w:cs="Calibri"/>
            <w:b/>
            <w:noProof/>
            <w:szCs w:val="20"/>
          </w:rPr>
          <w:t>ΛΟΓΟΤΥΠΟ</w:t>
        </w:r>
      </w:hyperlink>
      <w:r w:rsidR="00BD75E7" w:rsidRPr="00BD75E7">
        <w:rPr>
          <w:rStyle w:val="Hyperlink"/>
          <w:rFonts w:cs="Calibri"/>
          <w:b/>
          <w:noProof/>
          <w:szCs w:val="20"/>
        </w:rPr>
        <w:t>,</w:t>
      </w:r>
      <w:r w:rsidR="00BD75E7" w:rsidRPr="00BD75E7">
        <w:rPr>
          <w:rFonts w:cs="Calibri"/>
          <w:b/>
          <w:noProof/>
          <w:color w:val="000000"/>
          <w:szCs w:val="20"/>
        </w:rPr>
        <w:t xml:space="preserve"> Εταιρειών </w:t>
      </w:r>
      <w:r w:rsidR="00BD75E7" w:rsidRPr="00BD75E7">
        <w:rPr>
          <w:rFonts w:cs="Calibri"/>
          <w:b/>
          <w:noProof/>
          <w:color w:val="000000"/>
          <w:szCs w:val="20"/>
          <w:lang w:val="en-US"/>
        </w:rPr>
        <w:t>ICAP</w:t>
      </w:r>
    </w:p>
    <w:p w14:paraId="392F00C9" w14:textId="77777777" w:rsidR="00B35800" w:rsidRPr="00BD75E7" w:rsidRDefault="00B35800" w:rsidP="00BD75E7">
      <w:pPr>
        <w:rPr>
          <w:rFonts w:cs="Calibri"/>
          <w:b/>
          <w:noProof/>
          <w:color w:val="000000"/>
          <w:szCs w:val="20"/>
        </w:rPr>
      </w:pPr>
    </w:p>
    <w:p w14:paraId="24C96FB1" w14:textId="77777777" w:rsidR="00BD75E7" w:rsidRPr="00BD75E7" w:rsidRDefault="00BD75E7" w:rsidP="00BD75E7">
      <w:pPr>
        <w:shd w:val="pct10" w:color="auto" w:fill="auto"/>
        <w:rPr>
          <w:rFonts w:cs="Calibri"/>
          <w:color w:val="000000"/>
          <w:szCs w:val="20"/>
        </w:rPr>
      </w:pPr>
    </w:p>
    <w:p w14:paraId="2BC549DB" w14:textId="77777777" w:rsidR="00B35800" w:rsidRDefault="00B35800" w:rsidP="00BD75E7">
      <w:pPr>
        <w:jc w:val="left"/>
        <w:rPr>
          <w:rFonts w:cs="Calibri"/>
          <w:b/>
          <w:szCs w:val="20"/>
        </w:rPr>
      </w:pPr>
    </w:p>
    <w:p w14:paraId="5ECEAAE5" w14:textId="071AD761" w:rsidR="00BD75E7" w:rsidRPr="00BD75E7" w:rsidRDefault="00BD75E7" w:rsidP="00BD75E7">
      <w:pPr>
        <w:jc w:val="left"/>
        <w:rPr>
          <w:rFonts w:cs="Calibri"/>
          <w:noProof/>
          <w:color w:val="000000"/>
          <w:szCs w:val="20"/>
        </w:rPr>
      </w:pPr>
      <w:r w:rsidRPr="00BD75E7">
        <w:rPr>
          <w:rFonts w:cs="Calibri"/>
          <w:b/>
          <w:szCs w:val="20"/>
        </w:rPr>
        <w:t xml:space="preserve">Περισσότερες Πληροφορίες, Γραφείο Τύπου </w:t>
      </w:r>
      <w:r w:rsidRPr="00BD75E7">
        <w:rPr>
          <w:rFonts w:cs="Calibri"/>
          <w:b/>
          <w:szCs w:val="20"/>
          <w:lang w:val="en-US"/>
        </w:rPr>
        <w:t>ICAP</w:t>
      </w:r>
      <w:r w:rsidRPr="00BD75E7">
        <w:rPr>
          <w:rFonts w:cs="Calibri"/>
          <w:b/>
          <w:szCs w:val="20"/>
        </w:rPr>
        <w:t>:</w:t>
      </w:r>
      <w:r w:rsidRPr="00BD75E7">
        <w:rPr>
          <w:rFonts w:cs="Calibri"/>
          <w:b/>
          <w:szCs w:val="20"/>
        </w:rPr>
        <w:br/>
      </w:r>
      <w:r w:rsidRPr="00BD75E7">
        <w:rPr>
          <w:rFonts w:cs="Calibri"/>
          <w:noProof/>
          <w:color w:val="000000"/>
          <w:szCs w:val="20"/>
        </w:rPr>
        <w:t xml:space="preserve">Φρατζέσκα Σιδερή, </w:t>
      </w:r>
      <w:r w:rsidRPr="00BD75E7">
        <w:rPr>
          <w:rFonts w:cs="Calibri"/>
          <w:noProof/>
          <w:color w:val="000000"/>
          <w:szCs w:val="20"/>
          <w:lang w:val="en-US"/>
        </w:rPr>
        <w:t>Communications</w:t>
      </w:r>
      <w:r w:rsidRPr="00BD75E7">
        <w:rPr>
          <w:rFonts w:cs="Calibri"/>
          <w:noProof/>
          <w:color w:val="000000"/>
          <w:szCs w:val="20"/>
        </w:rPr>
        <w:t xml:space="preserve"> &amp; </w:t>
      </w:r>
      <w:r w:rsidRPr="00BD75E7">
        <w:rPr>
          <w:rFonts w:cs="Calibri"/>
          <w:noProof/>
          <w:color w:val="000000"/>
          <w:szCs w:val="20"/>
          <w:lang w:val="en-US"/>
        </w:rPr>
        <w:t>Marketing</w:t>
      </w:r>
      <w:r w:rsidRPr="00BD75E7">
        <w:rPr>
          <w:rFonts w:cs="Calibri"/>
          <w:noProof/>
          <w:color w:val="000000"/>
          <w:szCs w:val="20"/>
        </w:rPr>
        <w:t xml:space="preserve"> </w:t>
      </w:r>
      <w:r w:rsidRPr="00BD75E7">
        <w:rPr>
          <w:rFonts w:cs="Calibri"/>
          <w:noProof/>
          <w:color w:val="000000"/>
          <w:szCs w:val="20"/>
          <w:lang w:val="en-US"/>
        </w:rPr>
        <w:t>Senior</w:t>
      </w:r>
      <w:r w:rsidRPr="00BD75E7">
        <w:rPr>
          <w:rFonts w:cs="Calibri"/>
          <w:noProof/>
          <w:color w:val="000000"/>
          <w:szCs w:val="20"/>
        </w:rPr>
        <w:t xml:space="preserve"> </w:t>
      </w:r>
      <w:r w:rsidRPr="00BD75E7">
        <w:rPr>
          <w:rFonts w:cs="Calibri"/>
          <w:noProof/>
          <w:color w:val="000000"/>
          <w:szCs w:val="20"/>
          <w:lang w:val="en-US"/>
        </w:rPr>
        <w:t>Manager</w:t>
      </w:r>
      <w:r w:rsidRPr="00BD75E7">
        <w:rPr>
          <w:rFonts w:cs="Calibri"/>
          <w:noProof/>
          <w:color w:val="000000"/>
          <w:szCs w:val="20"/>
        </w:rPr>
        <w:t xml:space="preserve"> </w:t>
      </w:r>
    </w:p>
    <w:p w14:paraId="397F0BFA" w14:textId="77777777" w:rsidR="00BD75E7" w:rsidRPr="00BD75E7" w:rsidRDefault="00BD75E7" w:rsidP="00BD75E7">
      <w:pPr>
        <w:rPr>
          <w:rFonts w:cs="Calibri"/>
          <w:szCs w:val="20"/>
          <w:lang w:val="en-US"/>
        </w:rPr>
      </w:pPr>
      <w:r w:rsidRPr="00BD75E7">
        <w:rPr>
          <w:rFonts w:cs="Calibri"/>
          <w:noProof/>
          <w:color w:val="000000"/>
          <w:szCs w:val="20"/>
          <w:lang w:val="en-US"/>
        </w:rPr>
        <w:t xml:space="preserve">e-mail: pr@icap.gr |T: 210 7200 495 |M: 693 673 5 143 </w:t>
      </w:r>
    </w:p>
    <w:p w14:paraId="2E8B8080" w14:textId="5B6C24A6" w:rsidR="009D5240" w:rsidRPr="00293EA1" w:rsidRDefault="00BD75E7" w:rsidP="006504A8">
      <w:pPr>
        <w:spacing w:after="120" w:line="276" w:lineRule="auto"/>
        <w:rPr>
          <w:szCs w:val="20"/>
        </w:rPr>
      </w:pPr>
      <w:r w:rsidRPr="00BD75E7">
        <w:rPr>
          <w:rFonts w:cs="Calibri"/>
          <w:b/>
          <w:color w:val="1F3864"/>
          <w:szCs w:val="20"/>
          <w:lang w:val="en-US"/>
        </w:rPr>
        <w:t xml:space="preserve">Join ICAP @ </w:t>
      </w:r>
      <w:r w:rsidRPr="007E3343">
        <w:rPr>
          <w:rFonts w:ascii="Calibri" w:hAnsi="Calibri" w:cs="Calibri"/>
          <w:b/>
          <w:color w:val="1F3864"/>
          <w:sz w:val="22"/>
          <w:szCs w:val="22"/>
          <w:lang w:val="en-US"/>
        </w:rPr>
        <w:t xml:space="preserve"> </w:t>
      </w:r>
      <w:r w:rsidRPr="007E3343">
        <w:rPr>
          <w:rFonts w:ascii="Calibri" w:hAnsi="Calibri" w:cs="Calibri"/>
          <w:b/>
          <w:noProof/>
          <w:color w:val="1F3864"/>
          <w:sz w:val="22"/>
          <w:szCs w:val="22"/>
          <w:lang w:val="en-US"/>
        </w:rPr>
        <w:drawing>
          <wp:inline distT="0" distB="0" distL="0" distR="0" wp14:anchorId="211BEF8B" wp14:editId="47C16277">
            <wp:extent cx="1647825" cy="304800"/>
            <wp:effectExtent l="0" t="0" r="9525" b="0"/>
            <wp:docPr id="5" name="Picture 5" descr="FB_butt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_butt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inline>
        </w:drawing>
      </w:r>
      <w:r w:rsidRPr="007E3343">
        <w:rPr>
          <w:rFonts w:ascii="Calibri" w:hAnsi="Calibri" w:cs="Calibri"/>
          <w:b/>
          <w:noProof/>
          <w:color w:val="1F3864"/>
          <w:sz w:val="22"/>
          <w:szCs w:val="22"/>
          <w:lang w:val="en-US"/>
        </w:rPr>
        <w:drawing>
          <wp:inline distT="0" distB="0" distL="0" distR="0" wp14:anchorId="60EB4732" wp14:editId="3D172C72">
            <wp:extent cx="1066800" cy="304800"/>
            <wp:effectExtent l="0" t="0" r="0" b="0"/>
            <wp:docPr id="4" name="Picture 4" descr="Youtube_butt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_butt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sidR="00CC1CDA" w:rsidRPr="007E3343">
        <w:rPr>
          <w:rFonts w:ascii="Calibri" w:hAnsi="Calibri" w:cs="Calibri"/>
          <w:b/>
          <w:noProof/>
          <w:color w:val="1F3864"/>
          <w:sz w:val="22"/>
          <w:szCs w:val="22"/>
          <w:lang w:val="en-US"/>
        </w:rPr>
        <w:drawing>
          <wp:inline distT="0" distB="0" distL="0" distR="0" wp14:anchorId="6FE9020F" wp14:editId="5900FB99">
            <wp:extent cx="1638300" cy="304800"/>
            <wp:effectExtent l="0" t="0" r="0" b="0"/>
            <wp:docPr id="6" name="Picture 6" descr="LinkedIn_butt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_butt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bookmarkStart w:id="2" w:name="_GoBack"/>
      <w:bookmarkEnd w:id="2"/>
    </w:p>
    <w:sectPr w:rsidR="009D5240" w:rsidRPr="00293EA1" w:rsidSect="00CC1CDA">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843" w:right="1134" w:bottom="1276" w:left="1134" w:header="709" w:footer="3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0725" w14:textId="77777777" w:rsidR="004464BD" w:rsidRDefault="004464BD">
      <w:r>
        <w:separator/>
      </w:r>
    </w:p>
  </w:endnote>
  <w:endnote w:type="continuationSeparator" w:id="0">
    <w:p w14:paraId="1BDA77CD" w14:textId="77777777" w:rsidR="004464BD" w:rsidRDefault="0044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9705" w14:textId="77777777" w:rsidR="004464BD" w:rsidRPr="00181C85" w:rsidRDefault="004464BD" w:rsidP="0029549E">
    <w:pPr>
      <w:pStyle w:val="Footer"/>
      <w:framePr w:wrap="around" w:vAnchor="text" w:hAnchor="margin" w:xAlign="center" w:y="1"/>
      <w:rPr>
        <w:rStyle w:val="PageNumber"/>
        <w:lang w:val="en-US"/>
      </w:rPr>
    </w:pPr>
  </w:p>
  <w:p w14:paraId="4BEB818B" w14:textId="77777777" w:rsidR="004464BD" w:rsidRPr="00181C85" w:rsidRDefault="004464BD" w:rsidP="00181C85">
    <w:pPr>
      <w:pStyle w:val="Footer"/>
      <w:pBdr>
        <w:top w:val="single" w:sz="8" w:space="1" w:color="auto"/>
      </w:pBdr>
      <w:jc w:val="left"/>
      <w:rPr>
        <w:rFonts w:ascii="Times New Roman" w:hAnsi="Times New Roman"/>
        <w:b/>
        <w:bCs/>
        <w:sz w:val="22"/>
        <w:szCs w:val="22"/>
      </w:rPr>
    </w:pPr>
    <w:r w:rsidRPr="00181C85">
      <w:rPr>
        <w:rStyle w:val="PageNumber"/>
        <w:rFonts w:ascii="Times New Roman" w:hAnsi="Times New Roman"/>
        <w:b/>
        <w:bCs/>
        <w:sz w:val="22"/>
        <w:szCs w:val="22"/>
      </w:rPr>
      <w:fldChar w:fldCharType="begin"/>
    </w:r>
    <w:r w:rsidRPr="00181C85">
      <w:rPr>
        <w:rStyle w:val="PageNumber"/>
        <w:rFonts w:ascii="Times New Roman" w:hAnsi="Times New Roman"/>
        <w:b/>
        <w:bCs/>
        <w:sz w:val="22"/>
        <w:szCs w:val="22"/>
      </w:rPr>
      <w:instrText xml:space="preserve"> PAGE </w:instrText>
    </w:r>
    <w:r w:rsidRPr="00181C85">
      <w:rPr>
        <w:rStyle w:val="PageNumber"/>
        <w:rFonts w:ascii="Times New Roman" w:hAnsi="Times New Roman"/>
        <w:b/>
        <w:bCs/>
        <w:sz w:val="22"/>
        <w:szCs w:val="22"/>
      </w:rPr>
      <w:fldChar w:fldCharType="separate"/>
    </w:r>
    <w:r>
      <w:rPr>
        <w:rStyle w:val="PageNumber"/>
        <w:rFonts w:ascii="Times New Roman" w:hAnsi="Times New Roman"/>
        <w:b/>
        <w:bCs/>
        <w:noProof/>
        <w:sz w:val="22"/>
        <w:szCs w:val="22"/>
      </w:rPr>
      <w:t>4</w:t>
    </w:r>
    <w:r w:rsidRPr="00181C85">
      <w:rPr>
        <w:rStyle w:val="PageNumber"/>
        <w:rFonts w:ascii="Times New Roman" w:hAnsi="Times New Roman"/>
        <w:b/>
        <w:bCs/>
        <w:sz w:val="22"/>
        <w:szCs w:val="22"/>
      </w:rPr>
      <w:fldChar w:fldCharType="end"/>
    </w:r>
  </w:p>
  <w:p w14:paraId="24D58C76" w14:textId="77777777" w:rsidR="004464BD" w:rsidRDefault="004464BD" w:rsidP="00181C85">
    <w:pPr>
      <w:pStyle w:val="Footer"/>
    </w:pPr>
  </w:p>
  <w:p w14:paraId="2F7A51FA" w14:textId="77777777" w:rsidR="004464BD" w:rsidRDefault="00446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D752" w14:textId="77777777" w:rsidR="004464BD" w:rsidRPr="00726E99" w:rsidRDefault="004464BD" w:rsidP="0029549E">
    <w:pPr>
      <w:pStyle w:val="Footer"/>
      <w:framePr w:wrap="around" w:vAnchor="text" w:hAnchor="margin" w:xAlign="center" w:y="1"/>
      <w:rPr>
        <w:rStyle w:val="PageNumber"/>
        <w:i/>
        <w:sz w:val="18"/>
        <w:szCs w:val="18"/>
      </w:rPr>
    </w:pPr>
  </w:p>
  <w:p w14:paraId="26E74873" w14:textId="77777777" w:rsidR="004464BD" w:rsidRDefault="004464BD" w:rsidP="00181C85">
    <w:pPr>
      <w:pStyle w:val="Footer"/>
    </w:pPr>
  </w:p>
  <w:p w14:paraId="11D31E4D" w14:textId="77777777" w:rsidR="004464BD" w:rsidRPr="00181C85" w:rsidRDefault="004464BD" w:rsidP="00181C85">
    <w:pPr>
      <w:pStyle w:val="Footer"/>
      <w:pBdr>
        <w:top w:val="single" w:sz="8" w:space="1" w:color="auto"/>
      </w:pBdr>
      <w:jc w:val="right"/>
      <w:rPr>
        <w:rFonts w:ascii="Times New Roman" w:hAnsi="Times New Roman"/>
        <w:b/>
        <w:bCs/>
        <w:sz w:val="22"/>
        <w:szCs w:val="22"/>
      </w:rPr>
    </w:pPr>
    <w:r w:rsidRPr="00181C85">
      <w:rPr>
        <w:rStyle w:val="PageNumber"/>
        <w:rFonts w:ascii="Times New Roman" w:hAnsi="Times New Roman"/>
        <w:b/>
        <w:bCs/>
        <w:sz w:val="22"/>
        <w:szCs w:val="22"/>
      </w:rPr>
      <w:fldChar w:fldCharType="begin"/>
    </w:r>
    <w:r w:rsidRPr="00181C85">
      <w:rPr>
        <w:rStyle w:val="PageNumber"/>
        <w:rFonts w:ascii="Times New Roman" w:hAnsi="Times New Roman"/>
        <w:b/>
        <w:bCs/>
        <w:sz w:val="22"/>
        <w:szCs w:val="22"/>
      </w:rPr>
      <w:instrText xml:space="preserve"> PAGE </w:instrText>
    </w:r>
    <w:r w:rsidRPr="00181C85">
      <w:rPr>
        <w:rStyle w:val="PageNumber"/>
        <w:rFonts w:ascii="Times New Roman" w:hAnsi="Times New Roman"/>
        <w:b/>
        <w:bCs/>
        <w:sz w:val="22"/>
        <w:szCs w:val="22"/>
      </w:rPr>
      <w:fldChar w:fldCharType="separate"/>
    </w:r>
    <w:r>
      <w:rPr>
        <w:rStyle w:val="PageNumber"/>
        <w:rFonts w:ascii="Times New Roman" w:hAnsi="Times New Roman"/>
        <w:b/>
        <w:bCs/>
        <w:noProof/>
        <w:sz w:val="22"/>
        <w:szCs w:val="22"/>
      </w:rPr>
      <w:t>5</w:t>
    </w:r>
    <w:r w:rsidRPr="00181C85">
      <w:rPr>
        <w:rStyle w:val="PageNumber"/>
        <w:rFonts w:ascii="Times New Roman" w:hAnsi="Times New Roman"/>
        <w:b/>
        <w:bCs/>
        <w:sz w:val="22"/>
        <w:szCs w:val="22"/>
      </w:rPr>
      <w:fldChar w:fldCharType="end"/>
    </w:r>
  </w:p>
  <w:p w14:paraId="6B3E1E20" w14:textId="77777777" w:rsidR="004464BD" w:rsidRDefault="00446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0405" w14:textId="77777777" w:rsidR="004464BD" w:rsidRPr="001E30C5" w:rsidRDefault="004464BD" w:rsidP="00603ADD">
    <w:pPr>
      <w:framePr w:w="6916" w:h="976" w:hRule="exact" w:hSpace="180" w:wrap="around" w:vAnchor="page" w:hAnchor="page" w:x="1141" w:y="15547"/>
      <w:tabs>
        <w:tab w:val="left" w:pos="851"/>
        <w:tab w:val="center" w:pos="3969"/>
        <w:tab w:val="center" w:pos="4153"/>
        <w:tab w:val="left" w:pos="4820"/>
        <w:tab w:val="right" w:pos="8306"/>
      </w:tabs>
      <w:jc w:val="left"/>
      <w:rPr>
        <w:rFonts w:ascii="Arial" w:hAnsi="Arial"/>
        <w:b/>
        <w:color w:val="808080"/>
        <w:sz w:val="16"/>
        <w:szCs w:val="16"/>
      </w:rPr>
    </w:pPr>
    <w:r w:rsidRPr="001E30C5">
      <w:rPr>
        <w:rFonts w:ascii="Arial" w:hAnsi="Arial"/>
        <w:b/>
        <w:color w:val="808080"/>
        <w:sz w:val="16"/>
        <w:szCs w:val="16"/>
      </w:rPr>
      <w:t>ICAP A.E.</w:t>
    </w:r>
  </w:p>
  <w:p w14:paraId="23D2153A" w14:textId="77777777" w:rsidR="004464BD" w:rsidRPr="001E30C5" w:rsidRDefault="004464BD" w:rsidP="00603ADD">
    <w:pPr>
      <w:framePr w:w="6916" w:h="976" w:hRule="exact" w:hSpace="180" w:wrap="around" w:vAnchor="page" w:hAnchor="page" w:x="1141" w:y="15547"/>
      <w:tabs>
        <w:tab w:val="left" w:pos="851"/>
        <w:tab w:val="center" w:pos="3969"/>
        <w:tab w:val="center" w:pos="4153"/>
        <w:tab w:val="left" w:pos="4820"/>
        <w:tab w:val="right" w:pos="8306"/>
      </w:tabs>
      <w:jc w:val="left"/>
      <w:rPr>
        <w:rFonts w:ascii="Arial" w:hAnsi="Arial"/>
        <w:b/>
        <w:color w:val="808080"/>
        <w:sz w:val="16"/>
        <w:szCs w:val="16"/>
      </w:rPr>
    </w:pPr>
    <w:r w:rsidRPr="001E30C5">
      <w:rPr>
        <w:rFonts w:ascii="Arial" w:hAnsi="Arial"/>
        <w:b/>
        <w:color w:val="808080"/>
        <w:sz w:val="16"/>
        <w:szCs w:val="16"/>
      </w:rPr>
      <w:t>Επιχειρηματική Πληροφόρηση, Σύμβουλοι Διοίκησης και Υπηρεσίες προς Επιχειρήσεις</w:t>
    </w:r>
  </w:p>
  <w:p w14:paraId="4D850AA4" w14:textId="77777777" w:rsidR="004464BD" w:rsidRPr="001E30C5" w:rsidRDefault="004464BD" w:rsidP="00603ADD">
    <w:pPr>
      <w:framePr w:w="6916" w:h="976" w:hRule="exact" w:hSpace="180" w:wrap="around" w:vAnchor="page" w:hAnchor="page" w:x="1141" w:y="15547"/>
      <w:tabs>
        <w:tab w:val="left" w:pos="851"/>
        <w:tab w:val="center" w:pos="3969"/>
        <w:tab w:val="center" w:pos="4153"/>
        <w:tab w:val="left" w:pos="4820"/>
        <w:tab w:val="right" w:pos="8306"/>
      </w:tabs>
      <w:jc w:val="left"/>
      <w:rPr>
        <w:rFonts w:ascii="Arial" w:hAnsi="Arial"/>
        <w:b/>
        <w:color w:val="A6A6A6"/>
        <w:sz w:val="16"/>
        <w:szCs w:val="16"/>
      </w:rPr>
    </w:pPr>
    <w:r w:rsidRPr="001E30C5">
      <w:rPr>
        <w:rFonts w:ascii="Arial" w:hAnsi="Arial"/>
        <w:b/>
        <w:color w:val="A6A6A6"/>
        <w:sz w:val="16"/>
        <w:szCs w:val="16"/>
      </w:rPr>
      <w:t>Γραφείο Τύπου</w:t>
    </w:r>
  </w:p>
  <w:p w14:paraId="03F614BE" w14:textId="77777777" w:rsidR="004464BD" w:rsidRPr="001E30C5" w:rsidRDefault="004464BD" w:rsidP="00603ADD">
    <w:pPr>
      <w:framePr w:w="6916" w:h="976" w:hRule="exact" w:hSpace="180" w:wrap="around" w:vAnchor="page" w:hAnchor="page" w:x="1141" w:y="15547"/>
      <w:tabs>
        <w:tab w:val="left" w:pos="851"/>
        <w:tab w:val="center" w:pos="3969"/>
        <w:tab w:val="center" w:pos="4153"/>
        <w:tab w:val="left" w:pos="4820"/>
        <w:tab w:val="right" w:pos="8306"/>
      </w:tabs>
      <w:jc w:val="left"/>
      <w:rPr>
        <w:rFonts w:ascii="Arial" w:hAnsi="Arial"/>
        <w:b/>
        <w:color w:val="A6A6A6"/>
        <w:sz w:val="16"/>
        <w:szCs w:val="16"/>
      </w:rPr>
    </w:pPr>
    <w:r w:rsidRPr="001E30C5">
      <w:rPr>
        <w:rFonts w:ascii="Arial" w:hAnsi="Arial"/>
        <w:b/>
        <w:color w:val="A6A6A6"/>
        <w:sz w:val="16"/>
        <w:szCs w:val="16"/>
      </w:rPr>
      <w:t>Λεωφόρος Ελευθερίου Βενιζέλου 2, 176 76 Καλλιθέα, Αθήνα</w:t>
    </w:r>
  </w:p>
  <w:p w14:paraId="1286645D" w14:textId="77777777" w:rsidR="004464BD" w:rsidRPr="001E30C5" w:rsidRDefault="004464BD" w:rsidP="00603ADD">
    <w:pPr>
      <w:framePr w:w="6916" w:h="976" w:hRule="exact" w:hSpace="180" w:wrap="around" w:vAnchor="page" w:hAnchor="page" w:x="1141" w:y="15547"/>
      <w:tabs>
        <w:tab w:val="left" w:pos="851"/>
        <w:tab w:val="center" w:pos="3969"/>
        <w:tab w:val="center" w:pos="4153"/>
        <w:tab w:val="left" w:pos="4820"/>
        <w:tab w:val="right" w:pos="8306"/>
      </w:tabs>
      <w:jc w:val="left"/>
      <w:rPr>
        <w:rFonts w:ascii="Arial" w:hAnsi="Arial"/>
        <w:b/>
        <w:color w:val="A6A6A6"/>
        <w:sz w:val="16"/>
        <w:szCs w:val="16"/>
        <w:lang w:val="en-US"/>
      </w:rPr>
    </w:pPr>
    <w:proofErr w:type="spellStart"/>
    <w:r w:rsidRPr="001E30C5">
      <w:rPr>
        <w:rFonts w:ascii="Arial" w:hAnsi="Arial"/>
        <w:b/>
        <w:color w:val="A6A6A6"/>
        <w:sz w:val="16"/>
        <w:szCs w:val="16"/>
      </w:rPr>
      <w:t>Τηλ</w:t>
    </w:r>
    <w:proofErr w:type="spellEnd"/>
    <w:r w:rsidRPr="001E30C5">
      <w:rPr>
        <w:rFonts w:ascii="Arial" w:hAnsi="Arial"/>
        <w:b/>
        <w:color w:val="A6A6A6"/>
        <w:sz w:val="16"/>
        <w:szCs w:val="16"/>
        <w:lang w:val="en-US"/>
      </w:rPr>
      <w:t>: 210 7200 495, e-mail: pr@icap.gr, web: www.icap.gr</w:t>
    </w:r>
  </w:p>
  <w:p w14:paraId="0204FC52" w14:textId="33F1E0A8" w:rsidR="004464BD" w:rsidRPr="00603ADD" w:rsidRDefault="004464BD" w:rsidP="00603ADD">
    <w:pPr>
      <w:pStyle w:val="Footer"/>
      <w:rPr>
        <w:rFonts w:ascii="Times New Roman" w:hAnsi="Times New Roman"/>
        <w:b/>
        <w:bCs/>
        <w:sz w:val="22"/>
        <w:szCs w:val="22"/>
        <w:lang w:val="en-US"/>
      </w:rPr>
    </w:pPr>
    <w:r>
      <w:rPr>
        <w:noProof/>
      </w:rPr>
      <w:drawing>
        <wp:anchor distT="0" distB="0" distL="114300" distR="114300" simplePos="0" relativeHeight="251668480" behindDoc="0" locked="0" layoutInCell="1" allowOverlap="1" wp14:anchorId="61DE702D" wp14:editId="41AC8389">
          <wp:simplePos x="0" y="0"/>
          <wp:positionH relativeFrom="column">
            <wp:posOffset>5219700</wp:posOffset>
          </wp:positionH>
          <wp:positionV relativeFrom="paragraph">
            <wp:posOffset>38735</wp:posOffset>
          </wp:positionV>
          <wp:extent cx="481330" cy="48133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D825347" wp14:editId="61446AB1">
          <wp:simplePos x="0" y="0"/>
          <wp:positionH relativeFrom="column">
            <wp:posOffset>4645025</wp:posOffset>
          </wp:positionH>
          <wp:positionV relativeFrom="paragraph">
            <wp:posOffset>15240</wp:posOffset>
          </wp:positionV>
          <wp:extent cx="495300" cy="514350"/>
          <wp:effectExtent l="0" t="0" r="0" b="0"/>
          <wp:wrapTight wrapText="bothSides">
            <wp:wrapPolygon edited="0">
              <wp:start x="0" y="0"/>
              <wp:lineTo x="0" y="20800"/>
              <wp:lineTo x="20769" y="20800"/>
              <wp:lineTo x="20769" y="0"/>
              <wp:lineTo x="0" y="0"/>
            </wp:wrapPolygon>
          </wp:wrapTight>
          <wp:docPr id="465" name="Picture 465" descr="ISO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SO9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CBB0B" w14:textId="296BA5F1" w:rsidR="004464BD" w:rsidRPr="001E30C5" w:rsidRDefault="004464BD" w:rsidP="00ED24B5">
    <w:pPr>
      <w:pStyle w:val="Footer"/>
      <w:rPr>
        <w:lang w:val="en-US"/>
      </w:rPr>
    </w:pPr>
    <w:r>
      <w:rPr>
        <w:noProof/>
      </w:rPr>
      <w:drawing>
        <wp:anchor distT="0" distB="0" distL="114300" distR="114300" simplePos="0" relativeHeight="251667456" behindDoc="0" locked="0" layoutInCell="1" allowOverlap="1" wp14:anchorId="7BC197F7" wp14:editId="49385C82">
          <wp:simplePos x="0" y="0"/>
          <wp:positionH relativeFrom="column">
            <wp:posOffset>5842000</wp:posOffset>
          </wp:positionH>
          <wp:positionV relativeFrom="paragraph">
            <wp:posOffset>9963785</wp:posOffset>
          </wp:positionV>
          <wp:extent cx="481330" cy="481330"/>
          <wp:effectExtent l="0" t="0" r="0" b="0"/>
          <wp:wrapNone/>
          <wp:docPr id="466" name="Picture 466" descr="TUV_hellas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UV_hellas_iso27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CEFE261" wp14:editId="7944D3CA">
          <wp:simplePos x="0" y="0"/>
          <wp:positionH relativeFrom="column">
            <wp:posOffset>5842000</wp:posOffset>
          </wp:positionH>
          <wp:positionV relativeFrom="paragraph">
            <wp:posOffset>9963785</wp:posOffset>
          </wp:positionV>
          <wp:extent cx="481330" cy="481330"/>
          <wp:effectExtent l="0" t="0" r="0" b="0"/>
          <wp:wrapNone/>
          <wp:docPr id="467" name="Picture 467" descr="TUV_hellas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UV_hellas_iso27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9CC82A0" wp14:editId="15D6AA96">
          <wp:simplePos x="0" y="0"/>
          <wp:positionH relativeFrom="column">
            <wp:posOffset>5842000</wp:posOffset>
          </wp:positionH>
          <wp:positionV relativeFrom="paragraph">
            <wp:posOffset>9963785</wp:posOffset>
          </wp:positionV>
          <wp:extent cx="481330" cy="481330"/>
          <wp:effectExtent l="0" t="0" r="0" b="0"/>
          <wp:wrapNone/>
          <wp:docPr id="468" name="Picture 468" descr="TUV_hellas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UV_hellas_iso27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5BBF05F" wp14:editId="51F899DF">
          <wp:simplePos x="0" y="0"/>
          <wp:positionH relativeFrom="column">
            <wp:posOffset>5842000</wp:posOffset>
          </wp:positionH>
          <wp:positionV relativeFrom="paragraph">
            <wp:posOffset>9963785</wp:posOffset>
          </wp:positionV>
          <wp:extent cx="481330" cy="481330"/>
          <wp:effectExtent l="0" t="0" r="0" b="0"/>
          <wp:wrapNone/>
          <wp:docPr id="469" name="Picture 469" descr="TUV_hellas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UV_hellas_iso27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601217D" wp14:editId="5E66954D">
          <wp:simplePos x="0" y="0"/>
          <wp:positionH relativeFrom="column">
            <wp:posOffset>5842000</wp:posOffset>
          </wp:positionH>
          <wp:positionV relativeFrom="paragraph">
            <wp:posOffset>9963785</wp:posOffset>
          </wp:positionV>
          <wp:extent cx="481330" cy="481330"/>
          <wp:effectExtent l="0" t="0" r="0" b="0"/>
          <wp:wrapNone/>
          <wp:docPr id="470" name="Picture 470" descr="TUV_hellas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UV_hellas_iso27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07AE2" w14:textId="77777777" w:rsidR="004464BD" w:rsidRPr="00ED24B5" w:rsidRDefault="004464B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DEBE" w14:textId="77777777" w:rsidR="004464BD" w:rsidRDefault="004464BD">
      <w:r>
        <w:separator/>
      </w:r>
    </w:p>
  </w:footnote>
  <w:footnote w:type="continuationSeparator" w:id="0">
    <w:p w14:paraId="205C2C2C" w14:textId="77777777" w:rsidR="004464BD" w:rsidRDefault="004464BD">
      <w:r>
        <w:continuationSeparator/>
      </w:r>
    </w:p>
  </w:footnote>
  <w:footnote w:id="1">
    <w:p w14:paraId="6BC7F706" w14:textId="77777777" w:rsidR="004464BD" w:rsidRPr="00D7161C" w:rsidRDefault="004464BD">
      <w:pPr>
        <w:pStyle w:val="FootnoteText"/>
        <w:rPr>
          <w:i/>
          <w:sz w:val="14"/>
          <w:szCs w:val="14"/>
        </w:rPr>
      </w:pPr>
      <w:r w:rsidRPr="00331DCD">
        <w:rPr>
          <w:rStyle w:val="FootnoteReference"/>
          <w:sz w:val="14"/>
          <w:szCs w:val="14"/>
        </w:rPr>
        <w:footnoteRef/>
      </w:r>
      <w:r w:rsidRPr="00331DCD">
        <w:rPr>
          <w:sz w:val="14"/>
          <w:szCs w:val="14"/>
        </w:rPr>
        <w:t xml:space="preserve"> </w:t>
      </w:r>
      <w:r w:rsidRPr="00D7161C">
        <w:rPr>
          <w:i/>
          <w:sz w:val="14"/>
          <w:szCs w:val="14"/>
        </w:rPr>
        <w:t>ΕΛ.ΣΤΑΤ. Τριμηνιαίοι Εθνικοί Λογαριασμοί, Δεκέμβριος 2019</w:t>
      </w:r>
      <w:r>
        <w:rPr>
          <w:i/>
          <w:sz w:val="14"/>
          <w:szCs w:val="14"/>
        </w:rPr>
        <w:t>.</w:t>
      </w:r>
    </w:p>
  </w:footnote>
  <w:footnote w:id="2">
    <w:p w14:paraId="715C8E6C" w14:textId="77777777" w:rsidR="004464BD" w:rsidRDefault="004464BD" w:rsidP="00656E61">
      <w:pPr>
        <w:pStyle w:val="FootnoteText"/>
        <w:suppressAutoHyphens/>
        <w:rPr>
          <w:i/>
          <w:sz w:val="14"/>
          <w:szCs w:val="14"/>
        </w:rPr>
      </w:pPr>
      <w:r w:rsidRPr="004A7746">
        <w:rPr>
          <w:rStyle w:val="FootnoteReference"/>
          <w:i/>
          <w:sz w:val="14"/>
          <w:szCs w:val="14"/>
        </w:rPr>
        <w:footnoteRef/>
      </w:r>
      <w:r w:rsidRPr="004A7746">
        <w:rPr>
          <w:i/>
          <w:sz w:val="16"/>
          <w:szCs w:val="16"/>
        </w:rPr>
        <w:t xml:space="preserve"> </w:t>
      </w:r>
      <w:r w:rsidRPr="00200424">
        <w:rPr>
          <w:i/>
          <w:sz w:val="14"/>
          <w:szCs w:val="14"/>
        </w:rPr>
        <w:t>Για τους σκοπούς της ανάλυσης ως εταιρικός τομέας ορίζεται το σύνολο των επιχειρήσεων, τα οικονομικά δεδομένα των οποίων</w:t>
      </w:r>
    </w:p>
    <w:p w14:paraId="06D0BF26" w14:textId="77777777" w:rsidR="004464BD" w:rsidRPr="00200424" w:rsidRDefault="004464BD" w:rsidP="00656E61">
      <w:pPr>
        <w:pStyle w:val="FootnoteText"/>
        <w:suppressAutoHyphens/>
        <w:rPr>
          <w:i/>
          <w:sz w:val="14"/>
          <w:szCs w:val="14"/>
        </w:rPr>
      </w:pPr>
      <w:r w:rsidRPr="00200424">
        <w:rPr>
          <w:i/>
          <w:sz w:val="14"/>
          <w:szCs w:val="14"/>
        </w:rPr>
        <w:t xml:space="preserve"> </w:t>
      </w:r>
      <w:r>
        <w:rPr>
          <w:i/>
          <w:sz w:val="14"/>
          <w:szCs w:val="14"/>
        </w:rPr>
        <w:t xml:space="preserve"> </w:t>
      </w:r>
      <w:r w:rsidRPr="00200424">
        <w:rPr>
          <w:i/>
          <w:sz w:val="14"/>
          <w:szCs w:val="14"/>
        </w:rPr>
        <w:t>περιλαμβάνονται στην τρέχουσα έκδοση του τόμου «Η Ελλάδα σε Αριθμούς».</w:t>
      </w:r>
    </w:p>
  </w:footnote>
  <w:footnote w:id="3">
    <w:p w14:paraId="1141B64D" w14:textId="77777777" w:rsidR="004464BD" w:rsidRPr="00331DCD" w:rsidRDefault="004464BD" w:rsidP="00B579E2">
      <w:pPr>
        <w:pStyle w:val="FootnoteText"/>
        <w:rPr>
          <w:color w:val="FF0000"/>
          <w:sz w:val="14"/>
          <w:szCs w:val="14"/>
        </w:rPr>
      </w:pPr>
      <w:r w:rsidRPr="00331DCD">
        <w:rPr>
          <w:rStyle w:val="FootnoteReference"/>
          <w:sz w:val="14"/>
          <w:szCs w:val="14"/>
        </w:rPr>
        <w:footnoteRef/>
      </w:r>
      <w:r w:rsidRPr="00331DCD">
        <w:t xml:space="preserve"> </w:t>
      </w:r>
      <w:r w:rsidRPr="00331DCD">
        <w:rPr>
          <w:sz w:val="14"/>
          <w:szCs w:val="14"/>
        </w:rPr>
        <w:t xml:space="preserve">Η θετική μεταβολή του μη λειτουργικού αποτελέσματος </w:t>
      </w:r>
      <w:r>
        <w:rPr>
          <w:sz w:val="14"/>
          <w:szCs w:val="14"/>
        </w:rPr>
        <w:t>οφείλεται κυρίως σε</w:t>
      </w:r>
      <w:r w:rsidRPr="00331DCD">
        <w:rPr>
          <w:sz w:val="14"/>
          <w:szCs w:val="14"/>
        </w:rPr>
        <w:t xml:space="preserve"> </w:t>
      </w:r>
      <w:r>
        <w:rPr>
          <w:sz w:val="14"/>
          <w:szCs w:val="14"/>
        </w:rPr>
        <w:t xml:space="preserve">μεγάλη εταιρεία </w:t>
      </w:r>
      <w:r w:rsidRPr="00331DCD">
        <w:rPr>
          <w:sz w:val="14"/>
          <w:szCs w:val="14"/>
        </w:rPr>
        <w:t>τ</w:t>
      </w:r>
      <w:r>
        <w:rPr>
          <w:sz w:val="14"/>
          <w:szCs w:val="14"/>
        </w:rPr>
        <w:t>ου</w:t>
      </w:r>
      <w:r w:rsidRPr="00331DCD">
        <w:rPr>
          <w:sz w:val="14"/>
          <w:szCs w:val="14"/>
        </w:rPr>
        <w:t xml:space="preserve"> τομέα των Τηλεπικοινωνιών. </w:t>
      </w:r>
    </w:p>
  </w:footnote>
  <w:footnote w:id="4">
    <w:p w14:paraId="20FB62DE" w14:textId="77777777" w:rsidR="004464BD" w:rsidRPr="00DB69CA" w:rsidRDefault="004464BD">
      <w:pPr>
        <w:pStyle w:val="FootnoteText"/>
        <w:rPr>
          <w:sz w:val="14"/>
          <w:szCs w:val="14"/>
        </w:rPr>
      </w:pPr>
      <w:r w:rsidRPr="00DB69CA">
        <w:rPr>
          <w:rStyle w:val="FootnoteReference"/>
          <w:sz w:val="14"/>
          <w:szCs w:val="14"/>
        </w:rPr>
        <w:footnoteRef/>
      </w:r>
      <w:r>
        <w:t xml:space="preserve"> </w:t>
      </w:r>
      <w:r w:rsidRPr="00DB69CA">
        <w:rPr>
          <w:sz w:val="14"/>
          <w:szCs w:val="14"/>
        </w:rPr>
        <w:t>Τα αποτελέσματα χρήσης επηρεάζονται σημαντικά από μια μεγάλη εταιρεία του κλάδου της Ενέργειας, η οποία εμφάνισε υψηλές ζημιές το 2018 από κέρδη το προηγούμενο έτος.</w:t>
      </w:r>
    </w:p>
  </w:footnote>
  <w:footnote w:id="5">
    <w:p w14:paraId="670CAFA5" w14:textId="77777777" w:rsidR="004464BD" w:rsidRPr="00FE3BCE" w:rsidRDefault="004464BD">
      <w:pPr>
        <w:pStyle w:val="FootnoteText"/>
        <w:rPr>
          <w:sz w:val="14"/>
          <w:szCs w:val="14"/>
        </w:rPr>
      </w:pPr>
      <w:r w:rsidRPr="00FE3BCE">
        <w:rPr>
          <w:rStyle w:val="FootnoteReference"/>
          <w:sz w:val="14"/>
          <w:szCs w:val="14"/>
        </w:rPr>
        <w:footnoteRef/>
      </w:r>
      <w:r>
        <w:t xml:space="preserve"> </w:t>
      </w:r>
      <w:r w:rsidRPr="00FE3BCE">
        <w:rPr>
          <w:sz w:val="14"/>
          <w:szCs w:val="14"/>
        </w:rPr>
        <w:t xml:space="preserve">Τα αποτελέσματα χρήσης επηρεάζονται σημαντικά από μια μεγάλη εταιρεία του κλάδου των Επικοινωνιών η οποία κατέστη κερδοφόρος το 2018 από ζημιογόνος το προηγούμενο έτος, καθώς και από μία μεγάλη εταιρεία του κλάδου των Μεταφορών η οποία περιόρισε πολύ τις ζημιές της το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67CE" w14:textId="77777777" w:rsidR="004464BD" w:rsidRDefault="004464BD" w:rsidP="00523F60">
    <w:pPr>
      <w:pStyle w:val="Header"/>
      <w:tabs>
        <w:tab w:val="clear" w:pos="4153"/>
        <w:tab w:val="clear" w:pos="8306"/>
        <w:tab w:val="left" w:pos="2025"/>
      </w:tabs>
    </w:pPr>
    <w:r>
      <w:rPr>
        <w:noProof/>
      </w:rPr>
      <w:drawing>
        <wp:anchor distT="0" distB="0" distL="114300" distR="114300" simplePos="0" relativeHeight="251660288" behindDoc="0" locked="0" layoutInCell="1" allowOverlap="1" wp14:anchorId="043F5B4C" wp14:editId="0D9E30CE">
          <wp:simplePos x="0" y="0"/>
          <wp:positionH relativeFrom="character">
            <wp:posOffset>-104775</wp:posOffset>
          </wp:positionH>
          <wp:positionV relativeFrom="line">
            <wp:posOffset>-67310</wp:posOffset>
          </wp:positionV>
          <wp:extent cx="923290" cy="1062355"/>
          <wp:effectExtent l="0" t="0" r="0" b="4445"/>
          <wp:wrapNone/>
          <wp:docPr id="461" name="Picture 461" descr="I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P2"/>
                  <pic:cNvPicPr>
                    <a:picLocks noChangeAspect="1" noChangeArrowheads="1"/>
                  </pic:cNvPicPr>
                </pic:nvPicPr>
                <pic:blipFill>
                  <a:blip r:embed="rId1">
                    <a:extLst>
                      <a:ext uri="{28A0092B-C50C-407E-A947-70E740481C1C}">
                        <a14:useLocalDpi xmlns:a14="http://schemas.microsoft.com/office/drawing/2010/main" val="0"/>
                      </a:ext>
                    </a:extLst>
                  </a:blip>
                  <a:srcRect l="40063" t="9492" r="40477" b="52908"/>
                  <a:stretch>
                    <a:fillRect/>
                  </a:stretch>
                </pic:blipFill>
                <pic:spPr bwMode="auto">
                  <a:xfrm>
                    <a:off x="0" y="0"/>
                    <a:ext cx="923290" cy="1062355"/>
                  </a:xfrm>
                  <a:prstGeom prst="rect">
                    <a:avLst/>
                  </a:prstGeom>
                  <a:noFill/>
                </pic:spPr>
              </pic:pic>
            </a:graphicData>
          </a:graphic>
          <wp14:sizeRelH relativeFrom="page">
            <wp14:pctWidth>0</wp14:pctWidth>
          </wp14:sizeRelH>
          <wp14:sizeRelV relativeFrom="page">
            <wp14:pctHeight>0</wp14:pctHeight>
          </wp14:sizeRelV>
        </wp:anchor>
      </w:drawing>
    </w:r>
    <w:r>
      <w:tab/>
    </w:r>
  </w:p>
  <w:p w14:paraId="08C53BCE" w14:textId="77777777" w:rsidR="004464BD" w:rsidRDefault="004464BD" w:rsidP="00523F60">
    <w:pPr>
      <w:pStyle w:val="Header"/>
      <w:tabs>
        <w:tab w:val="clear" w:pos="4153"/>
        <w:tab w:val="clear" w:pos="8306"/>
        <w:tab w:val="left" w:pos="2025"/>
      </w:tabs>
    </w:pPr>
  </w:p>
  <w:p w14:paraId="11940BE1" w14:textId="77777777" w:rsidR="004464BD" w:rsidRDefault="004464BD" w:rsidP="00523F60">
    <w:pPr>
      <w:pStyle w:val="Header"/>
      <w:tabs>
        <w:tab w:val="clear" w:pos="4153"/>
        <w:tab w:val="clear" w:pos="8306"/>
        <w:tab w:val="left" w:pos="2025"/>
      </w:tabs>
    </w:pPr>
  </w:p>
  <w:p w14:paraId="7798797F" w14:textId="77777777" w:rsidR="004464BD" w:rsidRDefault="004464BD" w:rsidP="00523F60">
    <w:pPr>
      <w:pStyle w:val="Header"/>
      <w:tabs>
        <w:tab w:val="clear" w:pos="4153"/>
        <w:tab w:val="clear" w:pos="8306"/>
        <w:tab w:val="left" w:pos="2025"/>
      </w:tabs>
    </w:pPr>
  </w:p>
  <w:p w14:paraId="2F79F745" w14:textId="77777777" w:rsidR="004464BD" w:rsidRDefault="004464BD" w:rsidP="00523F60">
    <w:pPr>
      <w:pStyle w:val="Header"/>
      <w:tabs>
        <w:tab w:val="clear" w:pos="4153"/>
        <w:tab w:val="clear" w:pos="8306"/>
        <w:tab w:val="left" w:pos="2025"/>
      </w:tabs>
    </w:pPr>
  </w:p>
  <w:p w14:paraId="750FEEE6" w14:textId="77777777" w:rsidR="004464BD" w:rsidRDefault="004464BD" w:rsidP="00523F60">
    <w:pPr>
      <w:pStyle w:val="Header"/>
      <w:tabs>
        <w:tab w:val="clear" w:pos="4153"/>
        <w:tab w:val="clear" w:pos="8306"/>
        <w:tab w:val="left" w:pos="2025"/>
      </w:tabs>
    </w:pPr>
  </w:p>
  <w:p w14:paraId="7F4CEFC7" w14:textId="77777777" w:rsidR="004464BD" w:rsidRDefault="004464BD" w:rsidP="00523F60">
    <w:pPr>
      <w:pStyle w:val="Header"/>
      <w:tabs>
        <w:tab w:val="clear" w:pos="4153"/>
        <w:tab w:val="clear" w:pos="8306"/>
        <w:tab w:val="left" w:pos="20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5F0E" w14:textId="4514B538" w:rsidR="004464BD" w:rsidRDefault="004464BD" w:rsidP="00D740AB">
    <w:pPr>
      <w:pStyle w:val="Header"/>
    </w:pPr>
    <w:r>
      <w:rPr>
        <w:noProof/>
      </w:rPr>
      <w:drawing>
        <wp:anchor distT="0" distB="0" distL="114300" distR="114300" simplePos="0" relativeHeight="251670528" behindDoc="0" locked="0" layoutInCell="1" allowOverlap="1" wp14:anchorId="2308B759" wp14:editId="01C944DA">
          <wp:simplePos x="0" y="0"/>
          <wp:positionH relativeFrom="character">
            <wp:posOffset>3810</wp:posOffset>
          </wp:positionH>
          <wp:positionV relativeFrom="line">
            <wp:posOffset>45720</wp:posOffset>
          </wp:positionV>
          <wp:extent cx="599440" cy="689727"/>
          <wp:effectExtent l="0" t="0" r="0" b="0"/>
          <wp:wrapNone/>
          <wp:docPr id="462" name="Picture 462" descr="I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P2"/>
                  <pic:cNvPicPr>
                    <a:picLocks noChangeAspect="1" noChangeArrowheads="1"/>
                  </pic:cNvPicPr>
                </pic:nvPicPr>
                <pic:blipFill>
                  <a:blip r:embed="rId1">
                    <a:extLst>
                      <a:ext uri="{28A0092B-C50C-407E-A947-70E740481C1C}">
                        <a14:useLocalDpi xmlns:a14="http://schemas.microsoft.com/office/drawing/2010/main" val="0"/>
                      </a:ext>
                    </a:extLst>
                  </a:blip>
                  <a:srcRect l="40063" t="9492" r="40477" b="52908"/>
                  <a:stretch>
                    <a:fillRect/>
                  </a:stretch>
                </pic:blipFill>
                <pic:spPr bwMode="auto">
                  <a:xfrm>
                    <a:off x="0" y="0"/>
                    <a:ext cx="599440" cy="689727"/>
                  </a:xfrm>
                  <a:prstGeom prst="rect">
                    <a:avLst/>
                  </a:prstGeom>
                  <a:noFill/>
                </pic:spPr>
              </pic:pic>
            </a:graphicData>
          </a:graphic>
          <wp14:sizeRelH relativeFrom="page">
            <wp14:pctWidth>0</wp14:pctWidth>
          </wp14:sizeRelH>
          <wp14:sizeRelV relativeFrom="page">
            <wp14:pctHeight>0</wp14:pctHeight>
          </wp14:sizeRelV>
        </wp:anchor>
      </w:drawing>
    </w:r>
  </w:p>
  <w:p w14:paraId="30EF9984" w14:textId="6C34EA7D" w:rsidR="004464BD" w:rsidRDefault="00446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EB02" w14:textId="77777777" w:rsidR="004464BD" w:rsidRPr="00657FA2" w:rsidRDefault="004464BD" w:rsidP="00657FA2">
    <w:pPr>
      <w:pStyle w:val="Header"/>
    </w:pPr>
    <w:r>
      <w:rPr>
        <w:noProof/>
      </w:rPr>
      <w:drawing>
        <wp:anchor distT="0" distB="0" distL="114300" distR="114300" simplePos="0" relativeHeight="251658240" behindDoc="0" locked="0" layoutInCell="1" allowOverlap="1" wp14:anchorId="08C2F92D" wp14:editId="3ADDD883">
          <wp:simplePos x="0" y="0"/>
          <wp:positionH relativeFrom="character">
            <wp:posOffset>-160655</wp:posOffset>
          </wp:positionH>
          <wp:positionV relativeFrom="line">
            <wp:posOffset>-130810</wp:posOffset>
          </wp:positionV>
          <wp:extent cx="923290" cy="1062355"/>
          <wp:effectExtent l="0" t="0" r="0" b="4445"/>
          <wp:wrapNone/>
          <wp:docPr id="463" name="Picture 463" descr="IC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P2"/>
                  <pic:cNvPicPr>
                    <a:picLocks noChangeAspect="1" noChangeArrowheads="1"/>
                  </pic:cNvPicPr>
                </pic:nvPicPr>
                <pic:blipFill>
                  <a:blip r:embed="rId1">
                    <a:extLst>
                      <a:ext uri="{28A0092B-C50C-407E-A947-70E740481C1C}">
                        <a14:useLocalDpi xmlns:a14="http://schemas.microsoft.com/office/drawing/2010/main" val="0"/>
                      </a:ext>
                    </a:extLst>
                  </a:blip>
                  <a:srcRect l="40063" t="9492" r="40477" b="52908"/>
                  <a:stretch>
                    <a:fillRect/>
                  </a:stretch>
                </pic:blipFill>
                <pic:spPr bwMode="auto">
                  <a:xfrm>
                    <a:off x="0" y="0"/>
                    <a:ext cx="923290" cy="1062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0711A"/>
    <w:multiLevelType w:val="hybridMultilevel"/>
    <w:tmpl w:val="7AACA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01"/>
    <w:rsid w:val="00000212"/>
    <w:rsid w:val="00000963"/>
    <w:rsid w:val="00000FCC"/>
    <w:rsid w:val="000015D9"/>
    <w:rsid w:val="0000207F"/>
    <w:rsid w:val="00002887"/>
    <w:rsid w:val="0000292A"/>
    <w:rsid w:val="00002B4C"/>
    <w:rsid w:val="00003B41"/>
    <w:rsid w:val="000057B0"/>
    <w:rsid w:val="000068FB"/>
    <w:rsid w:val="00010401"/>
    <w:rsid w:val="00011333"/>
    <w:rsid w:val="00014589"/>
    <w:rsid w:val="00015745"/>
    <w:rsid w:val="00015FAF"/>
    <w:rsid w:val="00020DCA"/>
    <w:rsid w:val="0002397A"/>
    <w:rsid w:val="00024397"/>
    <w:rsid w:val="000256BD"/>
    <w:rsid w:val="000256C8"/>
    <w:rsid w:val="000271EB"/>
    <w:rsid w:val="00030BB4"/>
    <w:rsid w:val="00030CCF"/>
    <w:rsid w:val="0003295A"/>
    <w:rsid w:val="00032DB0"/>
    <w:rsid w:val="00034D68"/>
    <w:rsid w:val="0003743D"/>
    <w:rsid w:val="00037B90"/>
    <w:rsid w:val="00041504"/>
    <w:rsid w:val="00042502"/>
    <w:rsid w:val="00042641"/>
    <w:rsid w:val="0004335C"/>
    <w:rsid w:val="00043637"/>
    <w:rsid w:val="00043D05"/>
    <w:rsid w:val="0004488A"/>
    <w:rsid w:val="000454E0"/>
    <w:rsid w:val="0005108A"/>
    <w:rsid w:val="00051327"/>
    <w:rsid w:val="00055131"/>
    <w:rsid w:val="000578B2"/>
    <w:rsid w:val="000618DD"/>
    <w:rsid w:val="00061CEE"/>
    <w:rsid w:val="00062CB9"/>
    <w:rsid w:val="000630F3"/>
    <w:rsid w:val="00063934"/>
    <w:rsid w:val="0006407A"/>
    <w:rsid w:val="0006533F"/>
    <w:rsid w:val="00072D1D"/>
    <w:rsid w:val="00077CD4"/>
    <w:rsid w:val="000811ED"/>
    <w:rsid w:val="00084775"/>
    <w:rsid w:val="00084819"/>
    <w:rsid w:val="000859E8"/>
    <w:rsid w:val="00086739"/>
    <w:rsid w:val="000872DE"/>
    <w:rsid w:val="0008757F"/>
    <w:rsid w:val="000876BC"/>
    <w:rsid w:val="000928DD"/>
    <w:rsid w:val="00092B6F"/>
    <w:rsid w:val="0009309A"/>
    <w:rsid w:val="00096811"/>
    <w:rsid w:val="00097920"/>
    <w:rsid w:val="000A01B1"/>
    <w:rsid w:val="000A26A7"/>
    <w:rsid w:val="000A2A8B"/>
    <w:rsid w:val="000A6614"/>
    <w:rsid w:val="000A7327"/>
    <w:rsid w:val="000A74E6"/>
    <w:rsid w:val="000A7C39"/>
    <w:rsid w:val="000B0C0F"/>
    <w:rsid w:val="000B1194"/>
    <w:rsid w:val="000B1CCA"/>
    <w:rsid w:val="000B225E"/>
    <w:rsid w:val="000B46FA"/>
    <w:rsid w:val="000B5800"/>
    <w:rsid w:val="000C09ED"/>
    <w:rsid w:val="000C22CB"/>
    <w:rsid w:val="000C35B3"/>
    <w:rsid w:val="000C4CD8"/>
    <w:rsid w:val="000C5B5D"/>
    <w:rsid w:val="000C76E5"/>
    <w:rsid w:val="000D1F6A"/>
    <w:rsid w:val="000D3A4A"/>
    <w:rsid w:val="000D4A87"/>
    <w:rsid w:val="000D7758"/>
    <w:rsid w:val="000E0115"/>
    <w:rsid w:val="000E0E63"/>
    <w:rsid w:val="000E15ED"/>
    <w:rsid w:val="000E29C8"/>
    <w:rsid w:val="000E2E82"/>
    <w:rsid w:val="000E38C9"/>
    <w:rsid w:val="000E43C5"/>
    <w:rsid w:val="000E55D6"/>
    <w:rsid w:val="000E5D57"/>
    <w:rsid w:val="000E6550"/>
    <w:rsid w:val="000E7022"/>
    <w:rsid w:val="000F0DC1"/>
    <w:rsid w:val="000F1051"/>
    <w:rsid w:val="000F15C5"/>
    <w:rsid w:val="000F178C"/>
    <w:rsid w:val="000F3248"/>
    <w:rsid w:val="000F4BFD"/>
    <w:rsid w:val="000F4E12"/>
    <w:rsid w:val="000F5789"/>
    <w:rsid w:val="000F64B1"/>
    <w:rsid w:val="00102F13"/>
    <w:rsid w:val="00104CF4"/>
    <w:rsid w:val="001056D5"/>
    <w:rsid w:val="00105C95"/>
    <w:rsid w:val="00107E9B"/>
    <w:rsid w:val="00111563"/>
    <w:rsid w:val="001117C6"/>
    <w:rsid w:val="00111AF5"/>
    <w:rsid w:val="00112AAE"/>
    <w:rsid w:val="001141A9"/>
    <w:rsid w:val="001142EB"/>
    <w:rsid w:val="00115141"/>
    <w:rsid w:val="001162BD"/>
    <w:rsid w:val="00116CA8"/>
    <w:rsid w:val="00120307"/>
    <w:rsid w:val="00122A70"/>
    <w:rsid w:val="0012302B"/>
    <w:rsid w:val="001244FD"/>
    <w:rsid w:val="00124FD2"/>
    <w:rsid w:val="001255A6"/>
    <w:rsid w:val="0012579B"/>
    <w:rsid w:val="001309EE"/>
    <w:rsid w:val="00130F48"/>
    <w:rsid w:val="001320E8"/>
    <w:rsid w:val="00134F21"/>
    <w:rsid w:val="001370F0"/>
    <w:rsid w:val="00137A16"/>
    <w:rsid w:val="00141B79"/>
    <w:rsid w:val="001424CF"/>
    <w:rsid w:val="001437E4"/>
    <w:rsid w:val="00143894"/>
    <w:rsid w:val="00143B41"/>
    <w:rsid w:val="00146445"/>
    <w:rsid w:val="001477C1"/>
    <w:rsid w:val="00151669"/>
    <w:rsid w:val="00152147"/>
    <w:rsid w:val="00152286"/>
    <w:rsid w:val="0015311A"/>
    <w:rsid w:val="00156229"/>
    <w:rsid w:val="00161E5D"/>
    <w:rsid w:val="00161F67"/>
    <w:rsid w:val="0016365B"/>
    <w:rsid w:val="001636B5"/>
    <w:rsid w:val="00164D07"/>
    <w:rsid w:val="00164E00"/>
    <w:rsid w:val="00167E9E"/>
    <w:rsid w:val="001703A7"/>
    <w:rsid w:val="00171E6F"/>
    <w:rsid w:val="00171EE2"/>
    <w:rsid w:val="0017492A"/>
    <w:rsid w:val="001819D9"/>
    <w:rsid w:val="00181C85"/>
    <w:rsid w:val="00183716"/>
    <w:rsid w:val="00185ED6"/>
    <w:rsid w:val="0018642A"/>
    <w:rsid w:val="00187253"/>
    <w:rsid w:val="001874F3"/>
    <w:rsid w:val="0019069F"/>
    <w:rsid w:val="00191ACE"/>
    <w:rsid w:val="0019210E"/>
    <w:rsid w:val="001922AE"/>
    <w:rsid w:val="0019233F"/>
    <w:rsid w:val="00192B7D"/>
    <w:rsid w:val="00193EDC"/>
    <w:rsid w:val="00194150"/>
    <w:rsid w:val="00194CED"/>
    <w:rsid w:val="00195821"/>
    <w:rsid w:val="00195BA1"/>
    <w:rsid w:val="00196032"/>
    <w:rsid w:val="0019693A"/>
    <w:rsid w:val="00197E16"/>
    <w:rsid w:val="001A054A"/>
    <w:rsid w:val="001A1074"/>
    <w:rsid w:val="001A3DBB"/>
    <w:rsid w:val="001A6155"/>
    <w:rsid w:val="001A6476"/>
    <w:rsid w:val="001A6F98"/>
    <w:rsid w:val="001A73F5"/>
    <w:rsid w:val="001B32B1"/>
    <w:rsid w:val="001B3303"/>
    <w:rsid w:val="001B4030"/>
    <w:rsid w:val="001B4496"/>
    <w:rsid w:val="001B4868"/>
    <w:rsid w:val="001B4DDC"/>
    <w:rsid w:val="001B737E"/>
    <w:rsid w:val="001B7E5A"/>
    <w:rsid w:val="001C0809"/>
    <w:rsid w:val="001C1AB4"/>
    <w:rsid w:val="001C373A"/>
    <w:rsid w:val="001C3B0E"/>
    <w:rsid w:val="001C3F89"/>
    <w:rsid w:val="001D169B"/>
    <w:rsid w:val="001D18C4"/>
    <w:rsid w:val="001D2206"/>
    <w:rsid w:val="001D2574"/>
    <w:rsid w:val="001D2FDD"/>
    <w:rsid w:val="001D3BDC"/>
    <w:rsid w:val="001D783E"/>
    <w:rsid w:val="001E065E"/>
    <w:rsid w:val="001E3580"/>
    <w:rsid w:val="001E434B"/>
    <w:rsid w:val="001F03E1"/>
    <w:rsid w:val="001F23B8"/>
    <w:rsid w:val="001F4D0F"/>
    <w:rsid w:val="00200424"/>
    <w:rsid w:val="00204D53"/>
    <w:rsid w:val="00205D5B"/>
    <w:rsid w:val="00206B06"/>
    <w:rsid w:val="002109F1"/>
    <w:rsid w:val="00211628"/>
    <w:rsid w:val="0021286D"/>
    <w:rsid w:val="00216806"/>
    <w:rsid w:val="00216F9E"/>
    <w:rsid w:val="0022165C"/>
    <w:rsid w:val="0022239E"/>
    <w:rsid w:val="0022509E"/>
    <w:rsid w:val="0022624F"/>
    <w:rsid w:val="00226A8E"/>
    <w:rsid w:val="00226E8C"/>
    <w:rsid w:val="0023097B"/>
    <w:rsid w:val="00231CE6"/>
    <w:rsid w:val="002321BD"/>
    <w:rsid w:val="0023392B"/>
    <w:rsid w:val="00236C5B"/>
    <w:rsid w:val="00236FE6"/>
    <w:rsid w:val="00237130"/>
    <w:rsid w:val="00240F74"/>
    <w:rsid w:val="00243677"/>
    <w:rsid w:val="00245B21"/>
    <w:rsid w:val="0025249A"/>
    <w:rsid w:val="00252697"/>
    <w:rsid w:val="00256D84"/>
    <w:rsid w:val="00257471"/>
    <w:rsid w:val="00257ABC"/>
    <w:rsid w:val="00261E8F"/>
    <w:rsid w:val="00263F16"/>
    <w:rsid w:val="0026465D"/>
    <w:rsid w:val="002700E5"/>
    <w:rsid w:val="00270C67"/>
    <w:rsid w:val="002712BC"/>
    <w:rsid w:val="00275F5C"/>
    <w:rsid w:val="00276692"/>
    <w:rsid w:val="002771A1"/>
    <w:rsid w:val="0027785F"/>
    <w:rsid w:val="00285273"/>
    <w:rsid w:val="0028792A"/>
    <w:rsid w:val="00292532"/>
    <w:rsid w:val="0029293C"/>
    <w:rsid w:val="0029321A"/>
    <w:rsid w:val="00293EA1"/>
    <w:rsid w:val="00294B74"/>
    <w:rsid w:val="00295401"/>
    <w:rsid w:val="0029549E"/>
    <w:rsid w:val="002955AC"/>
    <w:rsid w:val="00297289"/>
    <w:rsid w:val="00297365"/>
    <w:rsid w:val="002A4473"/>
    <w:rsid w:val="002A671C"/>
    <w:rsid w:val="002A7D56"/>
    <w:rsid w:val="002B0098"/>
    <w:rsid w:val="002B0236"/>
    <w:rsid w:val="002B04A1"/>
    <w:rsid w:val="002B05AD"/>
    <w:rsid w:val="002B1FEB"/>
    <w:rsid w:val="002B4D0F"/>
    <w:rsid w:val="002B558E"/>
    <w:rsid w:val="002B74C5"/>
    <w:rsid w:val="002B7B5A"/>
    <w:rsid w:val="002C01D3"/>
    <w:rsid w:val="002C1763"/>
    <w:rsid w:val="002C3102"/>
    <w:rsid w:val="002C3ECF"/>
    <w:rsid w:val="002C7691"/>
    <w:rsid w:val="002D0E4B"/>
    <w:rsid w:val="002D1987"/>
    <w:rsid w:val="002D3238"/>
    <w:rsid w:val="002D54EA"/>
    <w:rsid w:val="002D5A5A"/>
    <w:rsid w:val="002D6CD2"/>
    <w:rsid w:val="002D6DC7"/>
    <w:rsid w:val="002D77C0"/>
    <w:rsid w:val="002E277E"/>
    <w:rsid w:val="002E471E"/>
    <w:rsid w:val="002E6453"/>
    <w:rsid w:val="002E7162"/>
    <w:rsid w:val="002F0C73"/>
    <w:rsid w:val="002F0CE1"/>
    <w:rsid w:val="002F0D8C"/>
    <w:rsid w:val="002F2F2A"/>
    <w:rsid w:val="002F3249"/>
    <w:rsid w:val="002F47C9"/>
    <w:rsid w:val="002F5423"/>
    <w:rsid w:val="00300ABE"/>
    <w:rsid w:val="00304FE2"/>
    <w:rsid w:val="00306AA3"/>
    <w:rsid w:val="00307799"/>
    <w:rsid w:val="003077E8"/>
    <w:rsid w:val="00310353"/>
    <w:rsid w:val="00313F7A"/>
    <w:rsid w:val="00317326"/>
    <w:rsid w:val="00320070"/>
    <w:rsid w:val="00321671"/>
    <w:rsid w:val="00321BB7"/>
    <w:rsid w:val="003239E0"/>
    <w:rsid w:val="00324A3C"/>
    <w:rsid w:val="00324DC6"/>
    <w:rsid w:val="00326AD6"/>
    <w:rsid w:val="0033143C"/>
    <w:rsid w:val="00331DCD"/>
    <w:rsid w:val="003320C6"/>
    <w:rsid w:val="0033504B"/>
    <w:rsid w:val="00335219"/>
    <w:rsid w:val="00336E29"/>
    <w:rsid w:val="00337B61"/>
    <w:rsid w:val="00337FF8"/>
    <w:rsid w:val="0034006B"/>
    <w:rsid w:val="00340B3B"/>
    <w:rsid w:val="00340DC8"/>
    <w:rsid w:val="003412D7"/>
    <w:rsid w:val="00341663"/>
    <w:rsid w:val="00342052"/>
    <w:rsid w:val="00342D0E"/>
    <w:rsid w:val="00343582"/>
    <w:rsid w:val="003437BC"/>
    <w:rsid w:val="00344EA8"/>
    <w:rsid w:val="0034532C"/>
    <w:rsid w:val="00345858"/>
    <w:rsid w:val="00345A6D"/>
    <w:rsid w:val="00345C79"/>
    <w:rsid w:val="00347989"/>
    <w:rsid w:val="00352B2A"/>
    <w:rsid w:val="003540AD"/>
    <w:rsid w:val="0035482F"/>
    <w:rsid w:val="00355B6D"/>
    <w:rsid w:val="00357BAD"/>
    <w:rsid w:val="003614F0"/>
    <w:rsid w:val="0036288C"/>
    <w:rsid w:val="00362ADE"/>
    <w:rsid w:val="00363317"/>
    <w:rsid w:val="00363A3B"/>
    <w:rsid w:val="00365A19"/>
    <w:rsid w:val="0036694D"/>
    <w:rsid w:val="00367C54"/>
    <w:rsid w:val="003723D7"/>
    <w:rsid w:val="003727B5"/>
    <w:rsid w:val="003737AC"/>
    <w:rsid w:val="00374596"/>
    <w:rsid w:val="003765E8"/>
    <w:rsid w:val="00377366"/>
    <w:rsid w:val="00380C29"/>
    <w:rsid w:val="0038175F"/>
    <w:rsid w:val="0038454D"/>
    <w:rsid w:val="00385068"/>
    <w:rsid w:val="003854C6"/>
    <w:rsid w:val="0038572C"/>
    <w:rsid w:val="00385BD0"/>
    <w:rsid w:val="00387244"/>
    <w:rsid w:val="00390721"/>
    <w:rsid w:val="00392391"/>
    <w:rsid w:val="00393E5D"/>
    <w:rsid w:val="00396FE1"/>
    <w:rsid w:val="003A084D"/>
    <w:rsid w:val="003A0884"/>
    <w:rsid w:val="003A0BF7"/>
    <w:rsid w:val="003A123C"/>
    <w:rsid w:val="003A1427"/>
    <w:rsid w:val="003A45AF"/>
    <w:rsid w:val="003A4E9E"/>
    <w:rsid w:val="003A695A"/>
    <w:rsid w:val="003A6A3E"/>
    <w:rsid w:val="003A6E84"/>
    <w:rsid w:val="003B28DC"/>
    <w:rsid w:val="003B365C"/>
    <w:rsid w:val="003B4538"/>
    <w:rsid w:val="003B4941"/>
    <w:rsid w:val="003C0932"/>
    <w:rsid w:val="003C2C02"/>
    <w:rsid w:val="003C3EA8"/>
    <w:rsid w:val="003C40EF"/>
    <w:rsid w:val="003C43DA"/>
    <w:rsid w:val="003C63A6"/>
    <w:rsid w:val="003C63DC"/>
    <w:rsid w:val="003C741D"/>
    <w:rsid w:val="003C7B8E"/>
    <w:rsid w:val="003D106B"/>
    <w:rsid w:val="003D1BD1"/>
    <w:rsid w:val="003D2069"/>
    <w:rsid w:val="003D381E"/>
    <w:rsid w:val="003D5F30"/>
    <w:rsid w:val="003D74D6"/>
    <w:rsid w:val="003D7622"/>
    <w:rsid w:val="003D7949"/>
    <w:rsid w:val="003E0861"/>
    <w:rsid w:val="003E35CE"/>
    <w:rsid w:val="003E42F5"/>
    <w:rsid w:val="003E4321"/>
    <w:rsid w:val="003E4DF9"/>
    <w:rsid w:val="003E629D"/>
    <w:rsid w:val="003E68E4"/>
    <w:rsid w:val="003F45A9"/>
    <w:rsid w:val="003F6728"/>
    <w:rsid w:val="003F6D52"/>
    <w:rsid w:val="003F7BF6"/>
    <w:rsid w:val="004002EA"/>
    <w:rsid w:val="004003F7"/>
    <w:rsid w:val="0041079D"/>
    <w:rsid w:val="00411977"/>
    <w:rsid w:val="0042039B"/>
    <w:rsid w:val="00421E8E"/>
    <w:rsid w:val="00421FCD"/>
    <w:rsid w:val="00427E32"/>
    <w:rsid w:val="00431B2C"/>
    <w:rsid w:val="00432826"/>
    <w:rsid w:val="00432F9B"/>
    <w:rsid w:val="00432FF2"/>
    <w:rsid w:val="004355A2"/>
    <w:rsid w:val="00435B19"/>
    <w:rsid w:val="004363AC"/>
    <w:rsid w:val="00441C9E"/>
    <w:rsid w:val="00442939"/>
    <w:rsid w:val="00445B90"/>
    <w:rsid w:val="00445CD5"/>
    <w:rsid w:val="004462F3"/>
    <w:rsid w:val="004464BD"/>
    <w:rsid w:val="00450E4D"/>
    <w:rsid w:val="0045181B"/>
    <w:rsid w:val="00453A86"/>
    <w:rsid w:val="00453E06"/>
    <w:rsid w:val="00454C8F"/>
    <w:rsid w:val="0045534B"/>
    <w:rsid w:val="004563E8"/>
    <w:rsid w:val="00457CD9"/>
    <w:rsid w:val="0046073C"/>
    <w:rsid w:val="00463BA0"/>
    <w:rsid w:val="004652FB"/>
    <w:rsid w:val="004660F4"/>
    <w:rsid w:val="004666C6"/>
    <w:rsid w:val="004706EA"/>
    <w:rsid w:val="00471F99"/>
    <w:rsid w:val="0047396F"/>
    <w:rsid w:val="00474645"/>
    <w:rsid w:val="0048077A"/>
    <w:rsid w:val="00483820"/>
    <w:rsid w:val="0048585F"/>
    <w:rsid w:val="00485FE1"/>
    <w:rsid w:val="00486597"/>
    <w:rsid w:val="004875F7"/>
    <w:rsid w:val="00492524"/>
    <w:rsid w:val="004958E8"/>
    <w:rsid w:val="004976EE"/>
    <w:rsid w:val="00497766"/>
    <w:rsid w:val="004A4282"/>
    <w:rsid w:val="004A4FD8"/>
    <w:rsid w:val="004A6421"/>
    <w:rsid w:val="004A6451"/>
    <w:rsid w:val="004A7746"/>
    <w:rsid w:val="004A7EA5"/>
    <w:rsid w:val="004B12F5"/>
    <w:rsid w:val="004B2D61"/>
    <w:rsid w:val="004B3C51"/>
    <w:rsid w:val="004B3FF9"/>
    <w:rsid w:val="004B5391"/>
    <w:rsid w:val="004B5C3F"/>
    <w:rsid w:val="004B773D"/>
    <w:rsid w:val="004B7C48"/>
    <w:rsid w:val="004B7E58"/>
    <w:rsid w:val="004C15A1"/>
    <w:rsid w:val="004C249A"/>
    <w:rsid w:val="004C2E96"/>
    <w:rsid w:val="004C38C1"/>
    <w:rsid w:val="004C38EC"/>
    <w:rsid w:val="004C556A"/>
    <w:rsid w:val="004C782A"/>
    <w:rsid w:val="004D15D8"/>
    <w:rsid w:val="004D1699"/>
    <w:rsid w:val="004D3AFF"/>
    <w:rsid w:val="004D47B5"/>
    <w:rsid w:val="004D495E"/>
    <w:rsid w:val="004D5202"/>
    <w:rsid w:val="004D5407"/>
    <w:rsid w:val="004D623E"/>
    <w:rsid w:val="004D696A"/>
    <w:rsid w:val="004E03E3"/>
    <w:rsid w:val="004E0956"/>
    <w:rsid w:val="004E1D2C"/>
    <w:rsid w:val="004E26E9"/>
    <w:rsid w:val="004E7BFC"/>
    <w:rsid w:val="004E7CDD"/>
    <w:rsid w:val="004F209B"/>
    <w:rsid w:val="004F6D47"/>
    <w:rsid w:val="00500B12"/>
    <w:rsid w:val="00502E62"/>
    <w:rsid w:val="00503140"/>
    <w:rsid w:val="005031A2"/>
    <w:rsid w:val="00503296"/>
    <w:rsid w:val="005036DF"/>
    <w:rsid w:val="00503A14"/>
    <w:rsid w:val="00503BBB"/>
    <w:rsid w:val="0050452E"/>
    <w:rsid w:val="005110EE"/>
    <w:rsid w:val="005156FB"/>
    <w:rsid w:val="0051738A"/>
    <w:rsid w:val="0052046D"/>
    <w:rsid w:val="00520590"/>
    <w:rsid w:val="005207E0"/>
    <w:rsid w:val="00520B16"/>
    <w:rsid w:val="00521943"/>
    <w:rsid w:val="00523F60"/>
    <w:rsid w:val="00524C7A"/>
    <w:rsid w:val="00527152"/>
    <w:rsid w:val="00527C50"/>
    <w:rsid w:val="00530D16"/>
    <w:rsid w:val="00530D2A"/>
    <w:rsid w:val="00533FEC"/>
    <w:rsid w:val="00536CD4"/>
    <w:rsid w:val="00536D4F"/>
    <w:rsid w:val="00537845"/>
    <w:rsid w:val="00540107"/>
    <w:rsid w:val="005442EC"/>
    <w:rsid w:val="00546B43"/>
    <w:rsid w:val="00547277"/>
    <w:rsid w:val="0054748E"/>
    <w:rsid w:val="00547714"/>
    <w:rsid w:val="00547872"/>
    <w:rsid w:val="0055255D"/>
    <w:rsid w:val="00554B90"/>
    <w:rsid w:val="005552F8"/>
    <w:rsid w:val="00555B85"/>
    <w:rsid w:val="00555DE1"/>
    <w:rsid w:val="00557FD1"/>
    <w:rsid w:val="00561584"/>
    <w:rsid w:val="00561F4F"/>
    <w:rsid w:val="005620CC"/>
    <w:rsid w:val="00565BB2"/>
    <w:rsid w:val="00572143"/>
    <w:rsid w:val="00573BBE"/>
    <w:rsid w:val="00573EF6"/>
    <w:rsid w:val="00574209"/>
    <w:rsid w:val="00577A8B"/>
    <w:rsid w:val="00580F2C"/>
    <w:rsid w:val="00581AB1"/>
    <w:rsid w:val="00582284"/>
    <w:rsid w:val="005823B2"/>
    <w:rsid w:val="00584A40"/>
    <w:rsid w:val="005855D8"/>
    <w:rsid w:val="005855E2"/>
    <w:rsid w:val="005864F8"/>
    <w:rsid w:val="005939FC"/>
    <w:rsid w:val="00593BF7"/>
    <w:rsid w:val="00597592"/>
    <w:rsid w:val="0059778D"/>
    <w:rsid w:val="00597A4B"/>
    <w:rsid w:val="005A110A"/>
    <w:rsid w:val="005A3222"/>
    <w:rsid w:val="005A5C92"/>
    <w:rsid w:val="005A5D80"/>
    <w:rsid w:val="005A5FF5"/>
    <w:rsid w:val="005A6949"/>
    <w:rsid w:val="005B1650"/>
    <w:rsid w:val="005B695C"/>
    <w:rsid w:val="005B6D58"/>
    <w:rsid w:val="005C1B3E"/>
    <w:rsid w:val="005C4267"/>
    <w:rsid w:val="005C529F"/>
    <w:rsid w:val="005C5DD9"/>
    <w:rsid w:val="005C7614"/>
    <w:rsid w:val="005C78F5"/>
    <w:rsid w:val="005D15BA"/>
    <w:rsid w:val="005D28F9"/>
    <w:rsid w:val="005D2ADF"/>
    <w:rsid w:val="005D3573"/>
    <w:rsid w:val="005D3BF6"/>
    <w:rsid w:val="005D6812"/>
    <w:rsid w:val="005E1F54"/>
    <w:rsid w:val="005E2301"/>
    <w:rsid w:val="005E38EE"/>
    <w:rsid w:val="005E479C"/>
    <w:rsid w:val="005E4840"/>
    <w:rsid w:val="005E61D2"/>
    <w:rsid w:val="005F29EC"/>
    <w:rsid w:val="005F4237"/>
    <w:rsid w:val="005F4D6D"/>
    <w:rsid w:val="005F5EBC"/>
    <w:rsid w:val="005F7184"/>
    <w:rsid w:val="005F7BD6"/>
    <w:rsid w:val="00600051"/>
    <w:rsid w:val="006017FA"/>
    <w:rsid w:val="0060180A"/>
    <w:rsid w:val="00601B83"/>
    <w:rsid w:val="00602278"/>
    <w:rsid w:val="00603ADD"/>
    <w:rsid w:val="00604137"/>
    <w:rsid w:val="00604143"/>
    <w:rsid w:val="00604B66"/>
    <w:rsid w:val="00605B79"/>
    <w:rsid w:val="0060698F"/>
    <w:rsid w:val="00610F27"/>
    <w:rsid w:val="00611E18"/>
    <w:rsid w:val="0061426F"/>
    <w:rsid w:val="00614718"/>
    <w:rsid w:val="00615749"/>
    <w:rsid w:val="00621149"/>
    <w:rsid w:val="006213CD"/>
    <w:rsid w:val="00622026"/>
    <w:rsid w:val="0062395C"/>
    <w:rsid w:val="00625DF0"/>
    <w:rsid w:val="00626C1B"/>
    <w:rsid w:val="00627CE7"/>
    <w:rsid w:val="00630651"/>
    <w:rsid w:val="00631023"/>
    <w:rsid w:val="00631941"/>
    <w:rsid w:val="00631BC9"/>
    <w:rsid w:val="006332C0"/>
    <w:rsid w:val="0063475D"/>
    <w:rsid w:val="00635A11"/>
    <w:rsid w:val="00636407"/>
    <w:rsid w:val="00636EEA"/>
    <w:rsid w:val="00637329"/>
    <w:rsid w:val="006379E6"/>
    <w:rsid w:val="006427EE"/>
    <w:rsid w:val="006504A8"/>
    <w:rsid w:val="0065062E"/>
    <w:rsid w:val="0065432A"/>
    <w:rsid w:val="006543C1"/>
    <w:rsid w:val="00655F41"/>
    <w:rsid w:val="006560D5"/>
    <w:rsid w:val="00656E61"/>
    <w:rsid w:val="00657FA2"/>
    <w:rsid w:val="00664389"/>
    <w:rsid w:val="006647C0"/>
    <w:rsid w:val="006658A8"/>
    <w:rsid w:val="00666805"/>
    <w:rsid w:val="006668BA"/>
    <w:rsid w:val="00666DE3"/>
    <w:rsid w:val="006670A7"/>
    <w:rsid w:val="0067025A"/>
    <w:rsid w:val="00672B2D"/>
    <w:rsid w:val="00675EC1"/>
    <w:rsid w:val="0067735D"/>
    <w:rsid w:val="0068011C"/>
    <w:rsid w:val="00682F40"/>
    <w:rsid w:val="006849C5"/>
    <w:rsid w:val="0068573B"/>
    <w:rsid w:val="006858DF"/>
    <w:rsid w:val="00692D0C"/>
    <w:rsid w:val="0069484D"/>
    <w:rsid w:val="00697B29"/>
    <w:rsid w:val="006A0DAD"/>
    <w:rsid w:val="006A33C4"/>
    <w:rsid w:val="006A52C1"/>
    <w:rsid w:val="006B0E99"/>
    <w:rsid w:val="006B2FA1"/>
    <w:rsid w:val="006B3ABE"/>
    <w:rsid w:val="006B508D"/>
    <w:rsid w:val="006B6514"/>
    <w:rsid w:val="006B7486"/>
    <w:rsid w:val="006C0B09"/>
    <w:rsid w:val="006C2525"/>
    <w:rsid w:val="006C26D4"/>
    <w:rsid w:val="006C2B3D"/>
    <w:rsid w:val="006C31C1"/>
    <w:rsid w:val="006C4709"/>
    <w:rsid w:val="006C7310"/>
    <w:rsid w:val="006C78F6"/>
    <w:rsid w:val="006D0A2D"/>
    <w:rsid w:val="006D44FB"/>
    <w:rsid w:val="006D66B2"/>
    <w:rsid w:val="006D78DC"/>
    <w:rsid w:val="006D79BF"/>
    <w:rsid w:val="006E0838"/>
    <w:rsid w:val="006E171B"/>
    <w:rsid w:val="006E20B4"/>
    <w:rsid w:val="006E640B"/>
    <w:rsid w:val="006E733F"/>
    <w:rsid w:val="006E77A3"/>
    <w:rsid w:val="006F11B6"/>
    <w:rsid w:val="006F2401"/>
    <w:rsid w:val="006F2C3E"/>
    <w:rsid w:val="006F66C5"/>
    <w:rsid w:val="006F7336"/>
    <w:rsid w:val="007007E1"/>
    <w:rsid w:val="0070103E"/>
    <w:rsid w:val="00703394"/>
    <w:rsid w:val="0070383B"/>
    <w:rsid w:val="007038DF"/>
    <w:rsid w:val="007045C6"/>
    <w:rsid w:val="00705F85"/>
    <w:rsid w:val="00712A9C"/>
    <w:rsid w:val="00717E08"/>
    <w:rsid w:val="00721100"/>
    <w:rsid w:val="00721427"/>
    <w:rsid w:val="00722CD8"/>
    <w:rsid w:val="00724250"/>
    <w:rsid w:val="00724B4B"/>
    <w:rsid w:val="007263A2"/>
    <w:rsid w:val="00726E99"/>
    <w:rsid w:val="007272FA"/>
    <w:rsid w:val="00727A39"/>
    <w:rsid w:val="00727C45"/>
    <w:rsid w:val="00727CFD"/>
    <w:rsid w:val="00731EA1"/>
    <w:rsid w:val="00731FA7"/>
    <w:rsid w:val="00733C31"/>
    <w:rsid w:val="00734CB4"/>
    <w:rsid w:val="00735603"/>
    <w:rsid w:val="00735670"/>
    <w:rsid w:val="00736806"/>
    <w:rsid w:val="007370CC"/>
    <w:rsid w:val="00737191"/>
    <w:rsid w:val="00742729"/>
    <w:rsid w:val="00744AEB"/>
    <w:rsid w:val="0074568B"/>
    <w:rsid w:val="0074667F"/>
    <w:rsid w:val="00747EB2"/>
    <w:rsid w:val="00751CBD"/>
    <w:rsid w:val="0075235E"/>
    <w:rsid w:val="00755796"/>
    <w:rsid w:val="00755875"/>
    <w:rsid w:val="007569E4"/>
    <w:rsid w:val="00762E58"/>
    <w:rsid w:val="007635A3"/>
    <w:rsid w:val="00763755"/>
    <w:rsid w:val="0076703A"/>
    <w:rsid w:val="0076753B"/>
    <w:rsid w:val="007676DD"/>
    <w:rsid w:val="00767EA0"/>
    <w:rsid w:val="00771F51"/>
    <w:rsid w:val="0077316F"/>
    <w:rsid w:val="007745A6"/>
    <w:rsid w:val="007748DF"/>
    <w:rsid w:val="00775171"/>
    <w:rsid w:val="00775BE1"/>
    <w:rsid w:val="00776295"/>
    <w:rsid w:val="0077739C"/>
    <w:rsid w:val="00780B20"/>
    <w:rsid w:val="007815EE"/>
    <w:rsid w:val="007817C9"/>
    <w:rsid w:val="00782D92"/>
    <w:rsid w:val="00783180"/>
    <w:rsid w:val="00783F86"/>
    <w:rsid w:val="00784CB2"/>
    <w:rsid w:val="00785201"/>
    <w:rsid w:val="00790089"/>
    <w:rsid w:val="007909F3"/>
    <w:rsid w:val="007917E2"/>
    <w:rsid w:val="00791D1B"/>
    <w:rsid w:val="0079229A"/>
    <w:rsid w:val="00792392"/>
    <w:rsid w:val="007961D7"/>
    <w:rsid w:val="00796724"/>
    <w:rsid w:val="007A0EEA"/>
    <w:rsid w:val="007A18F8"/>
    <w:rsid w:val="007A2158"/>
    <w:rsid w:val="007A2603"/>
    <w:rsid w:val="007A499F"/>
    <w:rsid w:val="007A4A10"/>
    <w:rsid w:val="007A4BAF"/>
    <w:rsid w:val="007A5D6B"/>
    <w:rsid w:val="007B1445"/>
    <w:rsid w:val="007B1CFC"/>
    <w:rsid w:val="007B1D38"/>
    <w:rsid w:val="007C36D3"/>
    <w:rsid w:val="007C4BBB"/>
    <w:rsid w:val="007D1A01"/>
    <w:rsid w:val="007D1D8B"/>
    <w:rsid w:val="007D2490"/>
    <w:rsid w:val="007D356E"/>
    <w:rsid w:val="007D6DD6"/>
    <w:rsid w:val="007D7064"/>
    <w:rsid w:val="007D7427"/>
    <w:rsid w:val="007E20AA"/>
    <w:rsid w:val="007E77A7"/>
    <w:rsid w:val="007E7F8D"/>
    <w:rsid w:val="007F1E86"/>
    <w:rsid w:val="007F4863"/>
    <w:rsid w:val="007F5458"/>
    <w:rsid w:val="007F68C1"/>
    <w:rsid w:val="007F7119"/>
    <w:rsid w:val="007F7D86"/>
    <w:rsid w:val="007F7F96"/>
    <w:rsid w:val="008006FB"/>
    <w:rsid w:val="008016CF"/>
    <w:rsid w:val="00802C2F"/>
    <w:rsid w:val="008034C9"/>
    <w:rsid w:val="00803EEB"/>
    <w:rsid w:val="00804CAE"/>
    <w:rsid w:val="00804CEA"/>
    <w:rsid w:val="00805156"/>
    <w:rsid w:val="00806775"/>
    <w:rsid w:val="00807380"/>
    <w:rsid w:val="0080785F"/>
    <w:rsid w:val="00810175"/>
    <w:rsid w:val="0081637C"/>
    <w:rsid w:val="00817588"/>
    <w:rsid w:val="00817DF7"/>
    <w:rsid w:val="00820460"/>
    <w:rsid w:val="008245B8"/>
    <w:rsid w:val="00826434"/>
    <w:rsid w:val="00826904"/>
    <w:rsid w:val="00833C68"/>
    <w:rsid w:val="008374A4"/>
    <w:rsid w:val="008378B4"/>
    <w:rsid w:val="008405EA"/>
    <w:rsid w:val="00840FD5"/>
    <w:rsid w:val="00841313"/>
    <w:rsid w:val="00841345"/>
    <w:rsid w:val="00841C9E"/>
    <w:rsid w:val="00843377"/>
    <w:rsid w:val="008433B5"/>
    <w:rsid w:val="00843660"/>
    <w:rsid w:val="00847A42"/>
    <w:rsid w:val="008513A0"/>
    <w:rsid w:val="00851D1E"/>
    <w:rsid w:val="008569FB"/>
    <w:rsid w:val="00857277"/>
    <w:rsid w:val="008579A5"/>
    <w:rsid w:val="008600D7"/>
    <w:rsid w:val="00860C28"/>
    <w:rsid w:val="0086254E"/>
    <w:rsid w:val="00862B3A"/>
    <w:rsid w:val="00862C87"/>
    <w:rsid w:val="00862EE2"/>
    <w:rsid w:val="008660AA"/>
    <w:rsid w:val="008671E1"/>
    <w:rsid w:val="008702C9"/>
    <w:rsid w:val="00870CF5"/>
    <w:rsid w:val="00871D16"/>
    <w:rsid w:val="00874C38"/>
    <w:rsid w:val="0087544C"/>
    <w:rsid w:val="00875D9A"/>
    <w:rsid w:val="008760CF"/>
    <w:rsid w:val="008769B0"/>
    <w:rsid w:val="008771B9"/>
    <w:rsid w:val="00880507"/>
    <w:rsid w:val="00881E84"/>
    <w:rsid w:val="0088373A"/>
    <w:rsid w:val="00884AF7"/>
    <w:rsid w:val="00884CD7"/>
    <w:rsid w:val="00885385"/>
    <w:rsid w:val="00885611"/>
    <w:rsid w:val="0088565F"/>
    <w:rsid w:val="00885C44"/>
    <w:rsid w:val="00891E7B"/>
    <w:rsid w:val="00894359"/>
    <w:rsid w:val="0089436C"/>
    <w:rsid w:val="00897BF4"/>
    <w:rsid w:val="00897F17"/>
    <w:rsid w:val="008A1D4F"/>
    <w:rsid w:val="008A597A"/>
    <w:rsid w:val="008A65CF"/>
    <w:rsid w:val="008A7870"/>
    <w:rsid w:val="008B0871"/>
    <w:rsid w:val="008B0C5E"/>
    <w:rsid w:val="008B1720"/>
    <w:rsid w:val="008B1A4D"/>
    <w:rsid w:val="008B22DA"/>
    <w:rsid w:val="008B2CB5"/>
    <w:rsid w:val="008B35F0"/>
    <w:rsid w:val="008B4421"/>
    <w:rsid w:val="008B710C"/>
    <w:rsid w:val="008C343E"/>
    <w:rsid w:val="008C45EB"/>
    <w:rsid w:val="008C58A7"/>
    <w:rsid w:val="008C76C2"/>
    <w:rsid w:val="008C7F9D"/>
    <w:rsid w:val="008D07B6"/>
    <w:rsid w:val="008D0F16"/>
    <w:rsid w:val="008D17C7"/>
    <w:rsid w:val="008D18BB"/>
    <w:rsid w:val="008D488A"/>
    <w:rsid w:val="008D4D73"/>
    <w:rsid w:val="008D5935"/>
    <w:rsid w:val="008D5AE1"/>
    <w:rsid w:val="008D63EA"/>
    <w:rsid w:val="008D690A"/>
    <w:rsid w:val="008D6916"/>
    <w:rsid w:val="008E1AE7"/>
    <w:rsid w:val="008E1DA6"/>
    <w:rsid w:val="008E266A"/>
    <w:rsid w:val="008E2D03"/>
    <w:rsid w:val="008E2D40"/>
    <w:rsid w:val="008E2D4D"/>
    <w:rsid w:val="008E3168"/>
    <w:rsid w:val="008E45F9"/>
    <w:rsid w:val="008E4D00"/>
    <w:rsid w:val="008E4EA0"/>
    <w:rsid w:val="008E5E09"/>
    <w:rsid w:val="008E7574"/>
    <w:rsid w:val="008F0F9D"/>
    <w:rsid w:val="008F103E"/>
    <w:rsid w:val="008F1D01"/>
    <w:rsid w:val="008F26AF"/>
    <w:rsid w:val="008F2F6F"/>
    <w:rsid w:val="008F6957"/>
    <w:rsid w:val="008F7345"/>
    <w:rsid w:val="008F7F84"/>
    <w:rsid w:val="0090013D"/>
    <w:rsid w:val="00902E0F"/>
    <w:rsid w:val="00903DAC"/>
    <w:rsid w:val="0090447F"/>
    <w:rsid w:val="00915868"/>
    <w:rsid w:val="009158A2"/>
    <w:rsid w:val="00917BD4"/>
    <w:rsid w:val="00922D37"/>
    <w:rsid w:val="00924041"/>
    <w:rsid w:val="009245B3"/>
    <w:rsid w:val="00926439"/>
    <w:rsid w:val="009272CE"/>
    <w:rsid w:val="0093037E"/>
    <w:rsid w:val="009320BA"/>
    <w:rsid w:val="00933B3A"/>
    <w:rsid w:val="00934CDC"/>
    <w:rsid w:val="00937B30"/>
    <w:rsid w:val="00940592"/>
    <w:rsid w:val="00943693"/>
    <w:rsid w:val="00943AAB"/>
    <w:rsid w:val="009461B9"/>
    <w:rsid w:val="00947FE0"/>
    <w:rsid w:val="00951729"/>
    <w:rsid w:val="009559DA"/>
    <w:rsid w:val="00955E56"/>
    <w:rsid w:val="00957B53"/>
    <w:rsid w:val="00960747"/>
    <w:rsid w:val="00960E65"/>
    <w:rsid w:val="0096152E"/>
    <w:rsid w:val="009626E3"/>
    <w:rsid w:val="0096281E"/>
    <w:rsid w:val="0096383E"/>
    <w:rsid w:val="00965A52"/>
    <w:rsid w:val="009701B2"/>
    <w:rsid w:val="00971170"/>
    <w:rsid w:val="0097454B"/>
    <w:rsid w:val="009746E9"/>
    <w:rsid w:val="009757DA"/>
    <w:rsid w:val="00977756"/>
    <w:rsid w:val="00980C12"/>
    <w:rsid w:val="0098193F"/>
    <w:rsid w:val="00981EC4"/>
    <w:rsid w:val="00983219"/>
    <w:rsid w:val="009832E4"/>
    <w:rsid w:val="00985877"/>
    <w:rsid w:val="0098664F"/>
    <w:rsid w:val="009866A7"/>
    <w:rsid w:val="0098685C"/>
    <w:rsid w:val="00987703"/>
    <w:rsid w:val="0099034B"/>
    <w:rsid w:val="009923EE"/>
    <w:rsid w:val="00992BB3"/>
    <w:rsid w:val="00994095"/>
    <w:rsid w:val="00994372"/>
    <w:rsid w:val="00994BB8"/>
    <w:rsid w:val="00994D1B"/>
    <w:rsid w:val="00997FC5"/>
    <w:rsid w:val="009A09FA"/>
    <w:rsid w:val="009A2478"/>
    <w:rsid w:val="009A3D36"/>
    <w:rsid w:val="009A49E7"/>
    <w:rsid w:val="009A72AD"/>
    <w:rsid w:val="009B1601"/>
    <w:rsid w:val="009B1705"/>
    <w:rsid w:val="009B2155"/>
    <w:rsid w:val="009B24EA"/>
    <w:rsid w:val="009B3609"/>
    <w:rsid w:val="009B3637"/>
    <w:rsid w:val="009B404A"/>
    <w:rsid w:val="009B4111"/>
    <w:rsid w:val="009B513A"/>
    <w:rsid w:val="009B5531"/>
    <w:rsid w:val="009B5AAE"/>
    <w:rsid w:val="009B619F"/>
    <w:rsid w:val="009B6213"/>
    <w:rsid w:val="009B6B11"/>
    <w:rsid w:val="009C0C46"/>
    <w:rsid w:val="009C3E43"/>
    <w:rsid w:val="009C3F77"/>
    <w:rsid w:val="009C5671"/>
    <w:rsid w:val="009C5D8B"/>
    <w:rsid w:val="009C7C7E"/>
    <w:rsid w:val="009D01B3"/>
    <w:rsid w:val="009D038F"/>
    <w:rsid w:val="009D1A6B"/>
    <w:rsid w:val="009D2505"/>
    <w:rsid w:val="009D3784"/>
    <w:rsid w:val="009D4760"/>
    <w:rsid w:val="009D4920"/>
    <w:rsid w:val="009D4B9E"/>
    <w:rsid w:val="009D51FF"/>
    <w:rsid w:val="009D5240"/>
    <w:rsid w:val="009D5B48"/>
    <w:rsid w:val="009D784F"/>
    <w:rsid w:val="009E0B87"/>
    <w:rsid w:val="009E13C1"/>
    <w:rsid w:val="009E1419"/>
    <w:rsid w:val="009E1743"/>
    <w:rsid w:val="009E2179"/>
    <w:rsid w:val="009E277B"/>
    <w:rsid w:val="009E2A6F"/>
    <w:rsid w:val="009E30D3"/>
    <w:rsid w:val="009E3972"/>
    <w:rsid w:val="009E452B"/>
    <w:rsid w:val="009F06DA"/>
    <w:rsid w:val="009F31B4"/>
    <w:rsid w:val="009F5E65"/>
    <w:rsid w:val="00A00B07"/>
    <w:rsid w:val="00A00DE0"/>
    <w:rsid w:val="00A013AF"/>
    <w:rsid w:val="00A02FA7"/>
    <w:rsid w:val="00A034A0"/>
    <w:rsid w:val="00A03E26"/>
    <w:rsid w:val="00A055B6"/>
    <w:rsid w:val="00A10B8F"/>
    <w:rsid w:val="00A128DF"/>
    <w:rsid w:val="00A12EF0"/>
    <w:rsid w:val="00A15529"/>
    <w:rsid w:val="00A16344"/>
    <w:rsid w:val="00A17295"/>
    <w:rsid w:val="00A23333"/>
    <w:rsid w:val="00A244FA"/>
    <w:rsid w:val="00A257CF"/>
    <w:rsid w:val="00A369DE"/>
    <w:rsid w:val="00A428B6"/>
    <w:rsid w:val="00A44545"/>
    <w:rsid w:val="00A449E8"/>
    <w:rsid w:val="00A44A61"/>
    <w:rsid w:val="00A44EE2"/>
    <w:rsid w:val="00A47DC6"/>
    <w:rsid w:val="00A508ED"/>
    <w:rsid w:val="00A52FE3"/>
    <w:rsid w:val="00A539A8"/>
    <w:rsid w:val="00A55570"/>
    <w:rsid w:val="00A56282"/>
    <w:rsid w:val="00A613C1"/>
    <w:rsid w:val="00A61B70"/>
    <w:rsid w:val="00A65139"/>
    <w:rsid w:val="00A65E15"/>
    <w:rsid w:val="00A66685"/>
    <w:rsid w:val="00A66DFF"/>
    <w:rsid w:val="00A7022C"/>
    <w:rsid w:val="00A722FD"/>
    <w:rsid w:val="00A750AD"/>
    <w:rsid w:val="00A76CB9"/>
    <w:rsid w:val="00A771C6"/>
    <w:rsid w:val="00A80B50"/>
    <w:rsid w:val="00A826A5"/>
    <w:rsid w:val="00A858EE"/>
    <w:rsid w:val="00A8687B"/>
    <w:rsid w:val="00A86C7F"/>
    <w:rsid w:val="00A90846"/>
    <w:rsid w:val="00A938D9"/>
    <w:rsid w:val="00A93EFA"/>
    <w:rsid w:val="00A941DF"/>
    <w:rsid w:val="00A942E8"/>
    <w:rsid w:val="00A94D61"/>
    <w:rsid w:val="00A94E4C"/>
    <w:rsid w:val="00A95356"/>
    <w:rsid w:val="00A95CBC"/>
    <w:rsid w:val="00A966CC"/>
    <w:rsid w:val="00A96F03"/>
    <w:rsid w:val="00AA1422"/>
    <w:rsid w:val="00AA1918"/>
    <w:rsid w:val="00AA3118"/>
    <w:rsid w:val="00AA338F"/>
    <w:rsid w:val="00AA5008"/>
    <w:rsid w:val="00AA5D5A"/>
    <w:rsid w:val="00AA6571"/>
    <w:rsid w:val="00AA6E82"/>
    <w:rsid w:val="00AB0156"/>
    <w:rsid w:val="00AB096D"/>
    <w:rsid w:val="00AB3B81"/>
    <w:rsid w:val="00AB48E8"/>
    <w:rsid w:val="00AB5633"/>
    <w:rsid w:val="00AB6648"/>
    <w:rsid w:val="00AB6C7D"/>
    <w:rsid w:val="00AC0FD9"/>
    <w:rsid w:val="00AC2DDA"/>
    <w:rsid w:val="00AC348B"/>
    <w:rsid w:val="00AC6F4E"/>
    <w:rsid w:val="00AD297B"/>
    <w:rsid w:val="00AD35FE"/>
    <w:rsid w:val="00AD3E0A"/>
    <w:rsid w:val="00AD42E0"/>
    <w:rsid w:val="00AD451E"/>
    <w:rsid w:val="00AD4E8B"/>
    <w:rsid w:val="00AD7F5F"/>
    <w:rsid w:val="00AE0F66"/>
    <w:rsid w:val="00AE2101"/>
    <w:rsid w:val="00AE4737"/>
    <w:rsid w:val="00AE5621"/>
    <w:rsid w:val="00AE568F"/>
    <w:rsid w:val="00AE7100"/>
    <w:rsid w:val="00AF1B13"/>
    <w:rsid w:val="00AF1E5D"/>
    <w:rsid w:val="00AF3184"/>
    <w:rsid w:val="00AF360F"/>
    <w:rsid w:val="00AF4FF1"/>
    <w:rsid w:val="00AF793C"/>
    <w:rsid w:val="00AF7AD6"/>
    <w:rsid w:val="00B03016"/>
    <w:rsid w:val="00B040DD"/>
    <w:rsid w:val="00B05226"/>
    <w:rsid w:val="00B16153"/>
    <w:rsid w:val="00B16D40"/>
    <w:rsid w:val="00B174A7"/>
    <w:rsid w:val="00B17837"/>
    <w:rsid w:val="00B2122B"/>
    <w:rsid w:val="00B213F1"/>
    <w:rsid w:val="00B217F4"/>
    <w:rsid w:val="00B23848"/>
    <w:rsid w:val="00B2421D"/>
    <w:rsid w:val="00B24FA0"/>
    <w:rsid w:val="00B2600A"/>
    <w:rsid w:val="00B262FA"/>
    <w:rsid w:val="00B30247"/>
    <w:rsid w:val="00B30455"/>
    <w:rsid w:val="00B30EE9"/>
    <w:rsid w:val="00B3101E"/>
    <w:rsid w:val="00B318F6"/>
    <w:rsid w:val="00B3385D"/>
    <w:rsid w:val="00B34026"/>
    <w:rsid w:val="00B35628"/>
    <w:rsid w:val="00B35800"/>
    <w:rsid w:val="00B35AA1"/>
    <w:rsid w:val="00B4348F"/>
    <w:rsid w:val="00B447C3"/>
    <w:rsid w:val="00B524E8"/>
    <w:rsid w:val="00B5438E"/>
    <w:rsid w:val="00B55D98"/>
    <w:rsid w:val="00B579E2"/>
    <w:rsid w:val="00B57CE6"/>
    <w:rsid w:val="00B6372C"/>
    <w:rsid w:val="00B64DE6"/>
    <w:rsid w:val="00B67704"/>
    <w:rsid w:val="00B70706"/>
    <w:rsid w:val="00B70A3A"/>
    <w:rsid w:val="00B71A52"/>
    <w:rsid w:val="00B742FA"/>
    <w:rsid w:val="00B75817"/>
    <w:rsid w:val="00B769FF"/>
    <w:rsid w:val="00B801DA"/>
    <w:rsid w:val="00B80824"/>
    <w:rsid w:val="00B82B9D"/>
    <w:rsid w:val="00B83796"/>
    <w:rsid w:val="00B84A59"/>
    <w:rsid w:val="00B85202"/>
    <w:rsid w:val="00B85994"/>
    <w:rsid w:val="00B85F94"/>
    <w:rsid w:val="00B94BCA"/>
    <w:rsid w:val="00B94F7D"/>
    <w:rsid w:val="00B95181"/>
    <w:rsid w:val="00B95BC8"/>
    <w:rsid w:val="00B9609D"/>
    <w:rsid w:val="00B96C69"/>
    <w:rsid w:val="00B96FD2"/>
    <w:rsid w:val="00BA0E68"/>
    <w:rsid w:val="00BA1D9F"/>
    <w:rsid w:val="00BA1F94"/>
    <w:rsid w:val="00BA2760"/>
    <w:rsid w:val="00BA27BD"/>
    <w:rsid w:val="00BA2A7C"/>
    <w:rsid w:val="00BA2C64"/>
    <w:rsid w:val="00BA5A9A"/>
    <w:rsid w:val="00BA6129"/>
    <w:rsid w:val="00BA657A"/>
    <w:rsid w:val="00BB0C8D"/>
    <w:rsid w:val="00BB1967"/>
    <w:rsid w:val="00BB1991"/>
    <w:rsid w:val="00BB2A63"/>
    <w:rsid w:val="00BB4139"/>
    <w:rsid w:val="00BB4B2C"/>
    <w:rsid w:val="00BB504E"/>
    <w:rsid w:val="00BB6FEE"/>
    <w:rsid w:val="00BB73CB"/>
    <w:rsid w:val="00BB7D75"/>
    <w:rsid w:val="00BC015A"/>
    <w:rsid w:val="00BC15B6"/>
    <w:rsid w:val="00BC25B1"/>
    <w:rsid w:val="00BC2DAC"/>
    <w:rsid w:val="00BC6EAC"/>
    <w:rsid w:val="00BC71E2"/>
    <w:rsid w:val="00BC7695"/>
    <w:rsid w:val="00BD16EF"/>
    <w:rsid w:val="00BD2503"/>
    <w:rsid w:val="00BD2C60"/>
    <w:rsid w:val="00BD36DF"/>
    <w:rsid w:val="00BD39B8"/>
    <w:rsid w:val="00BD4FF2"/>
    <w:rsid w:val="00BD5C28"/>
    <w:rsid w:val="00BD5ED7"/>
    <w:rsid w:val="00BD63E2"/>
    <w:rsid w:val="00BD74D5"/>
    <w:rsid w:val="00BD75E7"/>
    <w:rsid w:val="00BE0189"/>
    <w:rsid w:val="00BE2823"/>
    <w:rsid w:val="00BE3EDE"/>
    <w:rsid w:val="00BE4186"/>
    <w:rsid w:val="00BE4E5C"/>
    <w:rsid w:val="00BE54C4"/>
    <w:rsid w:val="00BE583A"/>
    <w:rsid w:val="00BE63BD"/>
    <w:rsid w:val="00BE6458"/>
    <w:rsid w:val="00BF1DBF"/>
    <w:rsid w:val="00BF2C5F"/>
    <w:rsid w:val="00BF486D"/>
    <w:rsid w:val="00BF7785"/>
    <w:rsid w:val="00BF7A68"/>
    <w:rsid w:val="00C008F8"/>
    <w:rsid w:val="00C0225C"/>
    <w:rsid w:val="00C03DBE"/>
    <w:rsid w:val="00C04B70"/>
    <w:rsid w:val="00C06BC3"/>
    <w:rsid w:val="00C06F3E"/>
    <w:rsid w:val="00C107A1"/>
    <w:rsid w:val="00C11046"/>
    <w:rsid w:val="00C1119C"/>
    <w:rsid w:val="00C12309"/>
    <w:rsid w:val="00C25CA9"/>
    <w:rsid w:val="00C26C2D"/>
    <w:rsid w:val="00C3481A"/>
    <w:rsid w:val="00C34992"/>
    <w:rsid w:val="00C353A8"/>
    <w:rsid w:val="00C35781"/>
    <w:rsid w:val="00C359EA"/>
    <w:rsid w:val="00C3667B"/>
    <w:rsid w:val="00C3694F"/>
    <w:rsid w:val="00C37437"/>
    <w:rsid w:val="00C4062E"/>
    <w:rsid w:val="00C413C2"/>
    <w:rsid w:val="00C41946"/>
    <w:rsid w:val="00C445CA"/>
    <w:rsid w:val="00C473A2"/>
    <w:rsid w:val="00C47B4F"/>
    <w:rsid w:val="00C50B65"/>
    <w:rsid w:val="00C50E2F"/>
    <w:rsid w:val="00C51C1B"/>
    <w:rsid w:val="00C52365"/>
    <w:rsid w:val="00C54C0B"/>
    <w:rsid w:val="00C604F5"/>
    <w:rsid w:val="00C606CB"/>
    <w:rsid w:val="00C61BC2"/>
    <w:rsid w:val="00C63321"/>
    <w:rsid w:val="00C635F4"/>
    <w:rsid w:val="00C64560"/>
    <w:rsid w:val="00C6478C"/>
    <w:rsid w:val="00C660B5"/>
    <w:rsid w:val="00C67EB4"/>
    <w:rsid w:val="00C70A63"/>
    <w:rsid w:val="00C714AE"/>
    <w:rsid w:val="00C72D2C"/>
    <w:rsid w:val="00C7587F"/>
    <w:rsid w:val="00C77E88"/>
    <w:rsid w:val="00C80032"/>
    <w:rsid w:val="00C806A5"/>
    <w:rsid w:val="00C815FB"/>
    <w:rsid w:val="00C84832"/>
    <w:rsid w:val="00C8499B"/>
    <w:rsid w:val="00C855E2"/>
    <w:rsid w:val="00C869A9"/>
    <w:rsid w:val="00C90E83"/>
    <w:rsid w:val="00C913C9"/>
    <w:rsid w:val="00C91710"/>
    <w:rsid w:val="00C923FB"/>
    <w:rsid w:val="00C92685"/>
    <w:rsid w:val="00C93913"/>
    <w:rsid w:val="00C93EB7"/>
    <w:rsid w:val="00C949F2"/>
    <w:rsid w:val="00C9760C"/>
    <w:rsid w:val="00CA2750"/>
    <w:rsid w:val="00CA4555"/>
    <w:rsid w:val="00CA4C42"/>
    <w:rsid w:val="00CA4EA7"/>
    <w:rsid w:val="00CA686B"/>
    <w:rsid w:val="00CA7289"/>
    <w:rsid w:val="00CA7F8A"/>
    <w:rsid w:val="00CB534F"/>
    <w:rsid w:val="00CB6717"/>
    <w:rsid w:val="00CB7056"/>
    <w:rsid w:val="00CB7265"/>
    <w:rsid w:val="00CB7BFF"/>
    <w:rsid w:val="00CB7D5E"/>
    <w:rsid w:val="00CC154D"/>
    <w:rsid w:val="00CC1CDA"/>
    <w:rsid w:val="00CC2EC0"/>
    <w:rsid w:val="00CC2F47"/>
    <w:rsid w:val="00CC3CA5"/>
    <w:rsid w:val="00CC4045"/>
    <w:rsid w:val="00CC4AFE"/>
    <w:rsid w:val="00CC6750"/>
    <w:rsid w:val="00CC6E14"/>
    <w:rsid w:val="00CD05E4"/>
    <w:rsid w:val="00CD0D15"/>
    <w:rsid w:val="00CD285C"/>
    <w:rsid w:val="00CD2FC0"/>
    <w:rsid w:val="00CD4039"/>
    <w:rsid w:val="00CD4568"/>
    <w:rsid w:val="00CD48AF"/>
    <w:rsid w:val="00CD50D0"/>
    <w:rsid w:val="00CD762C"/>
    <w:rsid w:val="00CD7E52"/>
    <w:rsid w:val="00CE0A53"/>
    <w:rsid w:val="00CE0E1F"/>
    <w:rsid w:val="00CE15C3"/>
    <w:rsid w:val="00CE3484"/>
    <w:rsid w:val="00CE3E36"/>
    <w:rsid w:val="00CE4EFE"/>
    <w:rsid w:val="00CE5F5D"/>
    <w:rsid w:val="00CE79CB"/>
    <w:rsid w:val="00CF3B16"/>
    <w:rsid w:val="00CF7347"/>
    <w:rsid w:val="00D00520"/>
    <w:rsid w:val="00D01073"/>
    <w:rsid w:val="00D01799"/>
    <w:rsid w:val="00D050CC"/>
    <w:rsid w:val="00D07115"/>
    <w:rsid w:val="00D07A95"/>
    <w:rsid w:val="00D1013E"/>
    <w:rsid w:val="00D15029"/>
    <w:rsid w:val="00D15136"/>
    <w:rsid w:val="00D15581"/>
    <w:rsid w:val="00D15BCE"/>
    <w:rsid w:val="00D15F35"/>
    <w:rsid w:val="00D164C1"/>
    <w:rsid w:val="00D22720"/>
    <w:rsid w:val="00D25879"/>
    <w:rsid w:val="00D25DC6"/>
    <w:rsid w:val="00D26269"/>
    <w:rsid w:val="00D2627A"/>
    <w:rsid w:val="00D304A0"/>
    <w:rsid w:val="00D30625"/>
    <w:rsid w:val="00D33D44"/>
    <w:rsid w:val="00D36001"/>
    <w:rsid w:val="00D43490"/>
    <w:rsid w:val="00D460B2"/>
    <w:rsid w:val="00D46996"/>
    <w:rsid w:val="00D50ACE"/>
    <w:rsid w:val="00D522E2"/>
    <w:rsid w:val="00D52EFA"/>
    <w:rsid w:val="00D53B8C"/>
    <w:rsid w:val="00D54368"/>
    <w:rsid w:val="00D5436F"/>
    <w:rsid w:val="00D5505D"/>
    <w:rsid w:val="00D5536C"/>
    <w:rsid w:val="00D55FCF"/>
    <w:rsid w:val="00D56AF9"/>
    <w:rsid w:val="00D57710"/>
    <w:rsid w:val="00D57A91"/>
    <w:rsid w:val="00D60A22"/>
    <w:rsid w:val="00D63C2F"/>
    <w:rsid w:val="00D65E5B"/>
    <w:rsid w:val="00D6760E"/>
    <w:rsid w:val="00D7161C"/>
    <w:rsid w:val="00D71651"/>
    <w:rsid w:val="00D71B9E"/>
    <w:rsid w:val="00D71DF4"/>
    <w:rsid w:val="00D72CAD"/>
    <w:rsid w:val="00D73046"/>
    <w:rsid w:val="00D73448"/>
    <w:rsid w:val="00D740AB"/>
    <w:rsid w:val="00D7474F"/>
    <w:rsid w:val="00D77968"/>
    <w:rsid w:val="00D810BA"/>
    <w:rsid w:val="00D817E7"/>
    <w:rsid w:val="00D818E6"/>
    <w:rsid w:val="00D81918"/>
    <w:rsid w:val="00D821A5"/>
    <w:rsid w:val="00D82338"/>
    <w:rsid w:val="00D823FE"/>
    <w:rsid w:val="00D8266B"/>
    <w:rsid w:val="00D82692"/>
    <w:rsid w:val="00D82E74"/>
    <w:rsid w:val="00D83279"/>
    <w:rsid w:val="00D84A5E"/>
    <w:rsid w:val="00D850A9"/>
    <w:rsid w:val="00D85C29"/>
    <w:rsid w:val="00D86718"/>
    <w:rsid w:val="00D86DEE"/>
    <w:rsid w:val="00D900C3"/>
    <w:rsid w:val="00D9087F"/>
    <w:rsid w:val="00D91676"/>
    <w:rsid w:val="00D92B15"/>
    <w:rsid w:val="00D93806"/>
    <w:rsid w:val="00D9482F"/>
    <w:rsid w:val="00D969A5"/>
    <w:rsid w:val="00DA149A"/>
    <w:rsid w:val="00DA24E9"/>
    <w:rsid w:val="00DA310F"/>
    <w:rsid w:val="00DA3421"/>
    <w:rsid w:val="00DA5094"/>
    <w:rsid w:val="00DA59C4"/>
    <w:rsid w:val="00DA5B70"/>
    <w:rsid w:val="00DB0AEC"/>
    <w:rsid w:val="00DB1378"/>
    <w:rsid w:val="00DB13E0"/>
    <w:rsid w:val="00DB23F9"/>
    <w:rsid w:val="00DB37C4"/>
    <w:rsid w:val="00DB69CA"/>
    <w:rsid w:val="00DB72E4"/>
    <w:rsid w:val="00DC0AC8"/>
    <w:rsid w:val="00DC1DA5"/>
    <w:rsid w:val="00DC211A"/>
    <w:rsid w:val="00DC3918"/>
    <w:rsid w:val="00DC5D76"/>
    <w:rsid w:val="00DC74D5"/>
    <w:rsid w:val="00DD1905"/>
    <w:rsid w:val="00DD1F2A"/>
    <w:rsid w:val="00DD3691"/>
    <w:rsid w:val="00DD37FF"/>
    <w:rsid w:val="00DD62C5"/>
    <w:rsid w:val="00DD76AA"/>
    <w:rsid w:val="00DD77BF"/>
    <w:rsid w:val="00DE006C"/>
    <w:rsid w:val="00DE0891"/>
    <w:rsid w:val="00DE2996"/>
    <w:rsid w:val="00DE6AF4"/>
    <w:rsid w:val="00DF3372"/>
    <w:rsid w:val="00DF4293"/>
    <w:rsid w:val="00DF43D6"/>
    <w:rsid w:val="00DF5399"/>
    <w:rsid w:val="00DF569F"/>
    <w:rsid w:val="00DF576B"/>
    <w:rsid w:val="00DF5869"/>
    <w:rsid w:val="00DF5E06"/>
    <w:rsid w:val="00DF7A29"/>
    <w:rsid w:val="00DF7EBD"/>
    <w:rsid w:val="00E002C9"/>
    <w:rsid w:val="00E00E82"/>
    <w:rsid w:val="00E04470"/>
    <w:rsid w:val="00E049DD"/>
    <w:rsid w:val="00E06201"/>
    <w:rsid w:val="00E0782E"/>
    <w:rsid w:val="00E10433"/>
    <w:rsid w:val="00E124DE"/>
    <w:rsid w:val="00E1254C"/>
    <w:rsid w:val="00E12B70"/>
    <w:rsid w:val="00E147EE"/>
    <w:rsid w:val="00E151E3"/>
    <w:rsid w:val="00E164B8"/>
    <w:rsid w:val="00E16A43"/>
    <w:rsid w:val="00E16BB2"/>
    <w:rsid w:val="00E17227"/>
    <w:rsid w:val="00E177D9"/>
    <w:rsid w:val="00E20F71"/>
    <w:rsid w:val="00E25CFE"/>
    <w:rsid w:val="00E27D14"/>
    <w:rsid w:val="00E30C61"/>
    <w:rsid w:val="00E31377"/>
    <w:rsid w:val="00E314C6"/>
    <w:rsid w:val="00E323D4"/>
    <w:rsid w:val="00E32BEE"/>
    <w:rsid w:val="00E35982"/>
    <w:rsid w:val="00E363D7"/>
    <w:rsid w:val="00E36858"/>
    <w:rsid w:val="00E37A28"/>
    <w:rsid w:val="00E40D9A"/>
    <w:rsid w:val="00E422FE"/>
    <w:rsid w:val="00E431E7"/>
    <w:rsid w:val="00E43DE1"/>
    <w:rsid w:val="00E44029"/>
    <w:rsid w:val="00E455D6"/>
    <w:rsid w:val="00E46F20"/>
    <w:rsid w:val="00E554C6"/>
    <w:rsid w:val="00E5643E"/>
    <w:rsid w:val="00E5688D"/>
    <w:rsid w:val="00E605B7"/>
    <w:rsid w:val="00E61CCC"/>
    <w:rsid w:val="00E6569A"/>
    <w:rsid w:val="00E71E74"/>
    <w:rsid w:val="00E74619"/>
    <w:rsid w:val="00E7491F"/>
    <w:rsid w:val="00E767DF"/>
    <w:rsid w:val="00E76B07"/>
    <w:rsid w:val="00E76F85"/>
    <w:rsid w:val="00E807C8"/>
    <w:rsid w:val="00E8281B"/>
    <w:rsid w:val="00E82B05"/>
    <w:rsid w:val="00E82FEB"/>
    <w:rsid w:val="00E83EFF"/>
    <w:rsid w:val="00E904B5"/>
    <w:rsid w:val="00E92E7B"/>
    <w:rsid w:val="00E93A97"/>
    <w:rsid w:val="00E943BD"/>
    <w:rsid w:val="00E954A2"/>
    <w:rsid w:val="00E954B8"/>
    <w:rsid w:val="00E9580B"/>
    <w:rsid w:val="00E95DEA"/>
    <w:rsid w:val="00E96B80"/>
    <w:rsid w:val="00E971C8"/>
    <w:rsid w:val="00E978B1"/>
    <w:rsid w:val="00E97BD5"/>
    <w:rsid w:val="00EA09FD"/>
    <w:rsid w:val="00EA3411"/>
    <w:rsid w:val="00EA480D"/>
    <w:rsid w:val="00EA517A"/>
    <w:rsid w:val="00EA554A"/>
    <w:rsid w:val="00EA5CD0"/>
    <w:rsid w:val="00EB13DD"/>
    <w:rsid w:val="00EB1926"/>
    <w:rsid w:val="00EB343E"/>
    <w:rsid w:val="00EB36E7"/>
    <w:rsid w:val="00EB48FD"/>
    <w:rsid w:val="00EB6EF6"/>
    <w:rsid w:val="00EB7570"/>
    <w:rsid w:val="00EC02B8"/>
    <w:rsid w:val="00EC02CC"/>
    <w:rsid w:val="00EC1072"/>
    <w:rsid w:val="00EC1781"/>
    <w:rsid w:val="00EC1DDB"/>
    <w:rsid w:val="00EC3B7B"/>
    <w:rsid w:val="00EC4BBD"/>
    <w:rsid w:val="00EC6C3F"/>
    <w:rsid w:val="00ED16F0"/>
    <w:rsid w:val="00ED24B5"/>
    <w:rsid w:val="00ED5AF0"/>
    <w:rsid w:val="00ED6A1C"/>
    <w:rsid w:val="00ED6E1C"/>
    <w:rsid w:val="00ED7312"/>
    <w:rsid w:val="00EE0DD0"/>
    <w:rsid w:val="00EE2780"/>
    <w:rsid w:val="00EE393A"/>
    <w:rsid w:val="00EE51DC"/>
    <w:rsid w:val="00EE6589"/>
    <w:rsid w:val="00EE751F"/>
    <w:rsid w:val="00EF048D"/>
    <w:rsid w:val="00EF0743"/>
    <w:rsid w:val="00EF3450"/>
    <w:rsid w:val="00EF4202"/>
    <w:rsid w:val="00EF512B"/>
    <w:rsid w:val="00EF6915"/>
    <w:rsid w:val="00EF6CA5"/>
    <w:rsid w:val="00EF72D9"/>
    <w:rsid w:val="00EF7D7B"/>
    <w:rsid w:val="00F007B6"/>
    <w:rsid w:val="00F02AD4"/>
    <w:rsid w:val="00F0334F"/>
    <w:rsid w:val="00F03AF5"/>
    <w:rsid w:val="00F03C0C"/>
    <w:rsid w:val="00F0562E"/>
    <w:rsid w:val="00F06D62"/>
    <w:rsid w:val="00F07DE8"/>
    <w:rsid w:val="00F10776"/>
    <w:rsid w:val="00F12ADF"/>
    <w:rsid w:val="00F13AB9"/>
    <w:rsid w:val="00F13BA4"/>
    <w:rsid w:val="00F14DE1"/>
    <w:rsid w:val="00F14EAD"/>
    <w:rsid w:val="00F17514"/>
    <w:rsid w:val="00F17525"/>
    <w:rsid w:val="00F208AD"/>
    <w:rsid w:val="00F22CCA"/>
    <w:rsid w:val="00F2363E"/>
    <w:rsid w:val="00F23A3B"/>
    <w:rsid w:val="00F23E91"/>
    <w:rsid w:val="00F24040"/>
    <w:rsid w:val="00F24105"/>
    <w:rsid w:val="00F251DD"/>
    <w:rsid w:val="00F27044"/>
    <w:rsid w:val="00F32C19"/>
    <w:rsid w:val="00F35079"/>
    <w:rsid w:val="00F36B0A"/>
    <w:rsid w:val="00F379BF"/>
    <w:rsid w:val="00F37ED2"/>
    <w:rsid w:val="00F42F36"/>
    <w:rsid w:val="00F438F0"/>
    <w:rsid w:val="00F47DF1"/>
    <w:rsid w:val="00F512CE"/>
    <w:rsid w:val="00F5144D"/>
    <w:rsid w:val="00F55015"/>
    <w:rsid w:val="00F55F28"/>
    <w:rsid w:val="00F56221"/>
    <w:rsid w:val="00F56239"/>
    <w:rsid w:val="00F575F8"/>
    <w:rsid w:val="00F60BD8"/>
    <w:rsid w:val="00F6159E"/>
    <w:rsid w:val="00F62979"/>
    <w:rsid w:val="00F62FD5"/>
    <w:rsid w:val="00F6403F"/>
    <w:rsid w:val="00F6416B"/>
    <w:rsid w:val="00F65EE2"/>
    <w:rsid w:val="00F65F5D"/>
    <w:rsid w:val="00F66652"/>
    <w:rsid w:val="00F66B23"/>
    <w:rsid w:val="00F674C5"/>
    <w:rsid w:val="00F7006B"/>
    <w:rsid w:val="00F70AFA"/>
    <w:rsid w:val="00F72AD2"/>
    <w:rsid w:val="00F73BAF"/>
    <w:rsid w:val="00F75656"/>
    <w:rsid w:val="00F75F34"/>
    <w:rsid w:val="00F75FAA"/>
    <w:rsid w:val="00F808A9"/>
    <w:rsid w:val="00F80D50"/>
    <w:rsid w:val="00F819DC"/>
    <w:rsid w:val="00F83234"/>
    <w:rsid w:val="00F83390"/>
    <w:rsid w:val="00F83928"/>
    <w:rsid w:val="00F87115"/>
    <w:rsid w:val="00F928C8"/>
    <w:rsid w:val="00F932A8"/>
    <w:rsid w:val="00F94147"/>
    <w:rsid w:val="00F942EF"/>
    <w:rsid w:val="00F94F76"/>
    <w:rsid w:val="00F95A08"/>
    <w:rsid w:val="00F95F06"/>
    <w:rsid w:val="00F960AF"/>
    <w:rsid w:val="00FA1549"/>
    <w:rsid w:val="00FA669C"/>
    <w:rsid w:val="00FA7E29"/>
    <w:rsid w:val="00FB0A45"/>
    <w:rsid w:val="00FB4D0A"/>
    <w:rsid w:val="00FB4E41"/>
    <w:rsid w:val="00FB501B"/>
    <w:rsid w:val="00FB5726"/>
    <w:rsid w:val="00FB6FA9"/>
    <w:rsid w:val="00FC06B4"/>
    <w:rsid w:val="00FC0DB5"/>
    <w:rsid w:val="00FC1E32"/>
    <w:rsid w:val="00FC215E"/>
    <w:rsid w:val="00FC3E86"/>
    <w:rsid w:val="00FC492F"/>
    <w:rsid w:val="00FC4BE5"/>
    <w:rsid w:val="00FC66DA"/>
    <w:rsid w:val="00FC77B4"/>
    <w:rsid w:val="00FD32AC"/>
    <w:rsid w:val="00FD46A2"/>
    <w:rsid w:val="00FD62C7"/>
    <w:rsid w:val="00FD6A99"/>
    <w:rsid w:val="00FD7FF6"/>
    <w:rsid w:val="00FE0FC3"/>
    <w:rsid w:val="00FE1761"/>
    <w:rsid w:val="00FE2243"/>
    <w:rsid w:val="00FE3BCE"/>
    <w:rsid w:val="00FE480F"/>
    <w:rsid w:val="00FF08FD"/>
    <w:rsid w:val="00FF27A7"/>
    <w:rsid w:val="00FF3446"/>
    <w:rsid w:val="00FF3A42"/>
    <w:rsid w:val="00FF3AB1"/>
    <w:rsid w:val="00FF3E00"/>
    <w:rsid w:val="00FF4A5E"/>
    <w:rsid w:val="00FF4E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688631"/>
  <w15:docId w15:val="{12E30011-0A9B-4930-8F7A-AD5DC04A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03E"/>
    <w:pPr>
      <w:jc w:val="both"/>
    </w:pPr>
    <w:rPr>
      <w:rFonts w:ascii="Verdana" w:hAnsi="Verdana"/>
      <w:szCs w:val="24"/>
    </w:rPr>
  </w:style>
  <w:style w:type="paragraph" w:styleId="Heading1">
    <w:name w:val="heading 1"/>
    <w:basedOn w:val="Normal"/>
    <w:next w:val="Normal"/>
    <w:qFormat/>
    <w:rsid w:val="009D3784"/>
    <w:pPr>
      <w:keepNext/>
      <w:outlineLvl w:val="0"/>
    </w:pPr>
    <w:rPr>
      <w:rFonts w:cs="Arial"/>
      <w:b/>
      <w:bCs/>
      <w:kern w:val="32"/>
      <w:szCs w:val="32"/>
    </w:rPr>
  </w:style>
  <w:style w:type="paragraph" w:styleId="Heading2">
    <w:name w:val="heading 2"/>
    <w:basedOn w:val="Normal"/>
    <w:next w:val="Normal"/>
    <w:qFormat/>
    <w:rsid w:val="009D3784"/>
    <w:pPr>
      <w:keepNext/>
      <w:jc w:val="center"/>
      <w:outlineLvl w:val="1"/>
    </w:pPr>
    <w:rPr>
      <w:rFonts w:cs="Arial"/>
      <w:b/>
      <w:bCs/>
      <w:iCs/>
      <w:szCs w:val="28"/>
    </w:rPr>
  </w:style>
  <w:style w:type="paragraph" w:styleId="Heading3">
    <w:name w:val="heading 3"/>
    <w:basedOn w:val="Normal"/>
    <w:next w:val="Normal"/>
    <w:qFormat/>
    <w:rsid w:val="009D3784"/>
    <w:pPr>
      <w:keepNext/>
      <w:jc w:val="center"/>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6E99"/>
    <w:pPr>
      <w:tabs>
        <w:tab w:val="center" w:pos="4153"/>
        <w:tab w:val="right" w:pos="8306"/>
      </w:tabs>
    </w:pPr>
  </w:style>
  <w:style w:type="character" w:customStyle="1" w:styleId="FooterChar">
    <w:name w:val="Footer Char"/>
    <w:link w:val="Footer"/>
    <w:uiPriority w:val="99"/>
    <w:rsid w:val="00181C85"/>
    <w:rPr>
      <w:rFonts w:ascii="Verdana" w:hAnsi="Verdana"/>
      <w:szCs w:val="24"/>
    </w:rPr>
  </w:style>
  <w:style w:type="character" w:styleId="PageNumber">
    <w:name w:val="page number"/>
    <w:basedOn w:val="DefaultParagraphFont"/>
    <w:rsid w:val="00726E99"/>
  </w:style>
  <w:style w:type="paragraph" w:styleId="Header">
    <w:name w:val="header"/>
    <w:basedOn w:val="Normal"/>
    <w:rsid w:val="00726E99"/>
    <w:pPr>
      <w:tabs>
        <w:tab w:val="center" w:pos="4153"/>
        <w:tab w:val="right" w:pos="8306"/>
      </w:tabs>
    </w:pPr>
  </w:style>
  <w:style w:type="paragraph" w:styleId="FootnoteText">
    <w:name w:val="footnote text"/>
    <w:basedOn w:val="Normal"/>
    <w:link w:val="FootnoteTextChar"/>
    <w:uiPriority w:val="99"/>
    <w:semiHidden/>
    <w:rsid w:val="00726E99"/>
    <w:rPr>
      <w:szCs w:val="20"/>
    </w:rPr>
  </w:style>
  <w:style w:type="character" w:styleId="FootnoteReference">
    <w:name w:val="footnote reference"/>
    <w:uiPriority w:val="99"/>
    <w:semiHidden/>
    <w:rsid w:val="00726E99"/>
    <w:rPr>
      <w:vertAlign w:val="superscript"/>
    </w:rPr>
  </w:style>
  <w:style w:type="table" w:styleId="TableList1">
    <w:name w:val="Table List 1"/>
    <w:basedOn w:val="TableNormal"/>
    <w:rsid w:val="00B95B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A1"/>
    <w:basedOn w:val="Normal"/>
    <w:rsid w:val="00C806A5"/>
    <w:rPr>
      <w:b/>
      <w:bCs/>
      <w:lang w:eastAsia="en-US"/>
    </w:rPr>
  </w:style>
  <w:style w:type="paragraph" w:styleId="BodyText">
    <w:name w:val="Body Text"/>
    <w:basedOn w:val="Normal"/>
    <w:link w:val="BodyTextChar"/>
    <w:rsid w:val="0034006B"/>
    <w:pPr>
      <w:widowControl w:val="0"/>
      <w:spacing w:after="120"/>
    </w:pPr>
    <w:rPr>
      <w:rFonts w:eastAsia="Arial"/>
      <w:kern w:val="1"/>
    </w:rPr>
  </w:style>
  <w:style w:type="character" w:customStyle="1" w:styleId="BodyTextChar">
    <w:name w:val="Body Text Char"/>
    <w:link w:val="BodyText"/>
    <w:rsid w:val="0034006B"/>
    <w:rPr>
      <w:rFonts w:ascii="Verdana" w:eastAsia="Arial" w:hAnsi="Verdana"/>
      <w:kern w:val="1"/>
      <w:szCs w:val="24"/>
    </w:rPr>
  </w:style>
  <w:style w:type="paragraph" w:customStyle="1" w:styleId="A2">
    <w:name w:val="A2"/>
    <w:basedOn w:val="BodyText"/>
    <w:rsid w:val="0034006B"/>
    <w:pPr>
      <w:widowControl/>
      <w:spacing w:after="0"/>
      <w:jc w:val="center"/>
    </w:pPr>
    <w:rPr>
      <w:rFonts w:eastAsia="Times New Roman"/>
      <w:b/>
      <w:bCs/>
      <w:kern w:val="0"/>
      <w:sz w:val="32"/>
      <w:lang w:eastAsia="en-US"/>
    </w:rPr>
  </w:style>
  <w:style w:type="character" w:customStyle="1" w:styleId="BalloonTextChar">
    <w:name w:val="Balloon Text Char"/>
    <w:link w:val="BalloonText"/>
    <w:rsid w:val="00051327"/>
    <w:rPr>
      <w:rFonts w:ascii="Tahoma" w:hAnsi="Tahoma" w:cs="Tahoma"/>
      <w:sz w:val="16"/>
      <w:szCs w:val="16"/>
    </w:rPr>
  </w:style>
  <w:style w:type="paragraph" w:styleId="BalloonText">
    <w:name w:val="Balloon Text"/>
    <w:basedOn w:val="Normal"/>
    <w:link w:val="BalloonTextChar"/>
    <w:rsid w:val="00051327"/>
    <w:rPr>
      <w:rFonts w:ascii="Tahoma" w:hAnsi="Tahoma" w:cs="Tahoma"/>
      <w:sz w:val="16"/>
      <w:szCs w:val="16"/>
    </w:rPr>
  </w:style>
  <w:style w:type="character" w:customStyle="1" w:styleId="EndnoteTextChar">
    <w:name w:val="Endnote Text Char"/>
    <w:link w:val="EndnoteText"/>
    <w:rsid w:val="00051327"/>
    <w:rPr>
      <w:rFonts w:ascii="Verdana" w:hAnsi="Verdana"/>
    </w:rPr>
  </w:style>
  <w:style w:type="paragraph" w:styleId="EndnoteText">
    <w:name w:val="endnote text"/>
    <w:basedOn w:val="Normal"/>
    <w:link w:val="EndnoteTextChar"/>
    <w:rsid w:val="00051327"/>
    <w:rPr>
      <w:szCs w:val="20"/>
    </w:rPr>
  </w:style>
  <w:style w:type="paragraph" w:styleId="ListParagraph">
    <w:name w:val="List Paragraph"/>
    <w:basedOn w:val="Normal"/>
    <w:uiPriority w:val="34"/>
    <w:qFormat/>
    <w:rsid w:val="00A15529"/>
    <w:pPr>
      <w:ind w:left="720"/>
      <w:contextualSpacing/>
      <w:jc w:val="left"/>
    </w:pPr>
    <w:rPr>
      <w:rFonts w:ascii="Times New Roman" w:hAnsi="Times New Roman"/>
      <w:szCs w:val="20"/>
      <w:lang w:val="en-GB" w:eastAsia="ar-SA"/>
    </w:rPr>
  </w:style>
  <w:style w:type="character" w:customStyle="1" w:styleId="FootnoteTextChar">
    <w:name w:val="Footnote Text Char"/>
    <w:link w:val="FootnoteText"/>
    <w:uiPriority w:val="99"/>
    <w:semiHidden/>
    <w:rsid w:val="00BD36DF"/>
    <w:rPr>
      <w:rFonts w:ascii="Verdana" w:hAnsi="Verdana"/>
    </w:rPr>
  </w:style>
  <w:style w:type="character" w:styleId="EndnoteReference">
    <w:name w:val="endnote reference"/>
    <w:basedOn w:val="DefaultParagraphFont"/>
    <w:semiHidden/>
    <w:unhideWhenUsed/>
    <w:rsid w:val="00CD762C"/>
    <w:rPr>
      <w:vertAlign w:val="superscript"/>
    </w:rPr>
  </w:style>
  <w:style w:type="paragraph" w:customStyle="1" w:styleId="-">
    <w:name w:val="ΤΙΤΛΟΙ ΥΠΟ-ΥΠΟΚΕΦΑΛΑΙΩΝ"/>
    <w:basedOn w:val="Normal"/>
    <w:link w:val="-Char"/>
    <w:rsid w:val="007A0EEA"/>
    <w:pPr>
      <w:jc w:val="left"/>
    </w:pPr>
    <w:rPr>
      <w:b/>
      <w:lang w:eastAsia="en-US"/>
    </w:rPr>
  </w:style>
  <w:style w:type="character" w:customStyle="1" w:styleId="-Char">
    <w:name w:val="ΤΙΤΛΟΙ ΥΠΟ-ΥΠΟΚΕΦΑΛΑΙΩΝ Char"/>
    <w:basedOn w:val="DefaultParagraphFont"/>
    <w:link w:val="-"/>
    <w:rsid w:val="007A0EEA"/>
    <w:rPr>
      <w:rFonts w:ascii="Verdana" w:hAnsi="Verdana"/>
      <w:b/>
      <w:szCs w:val="24"/>
      <w:lang w:eastAsia="en-US"/>
    </w:rPr>
  </w:style>
  <w:style w:type="table" w:styleId="TableContemporary">
    <w:name w:val="Table Contemporary"/>
    <w:basedOn w:val="TableNormal"/>
    <w:rsid w:val="0041079D"/>
    <w:pPr>
      <w:widowControl w:val="0"/>
      <w:jc w:val="both"/>
    </w:pPr>
    <w:rPr>
      <w:rFonts w:eastAsia="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aliases w:val="Κανονικό (Web) Char Char"/>
    <w:basedOn w:val="Normal"/>
    <w:rsid w:val="00BD75E7"/>
    <w:pPr>
      <w:jc w:val="center"/>
    </w:pPr>
    <w:rPr>
      <w:rFonts w:eastAsia="Arial Unicode MS" w:cs="Arial Unicode MS"/>
      <w:b/>
      <w:color w:val="000000"/>
      <w:lang w:val="en-GB" w:eastAsia="en-US"/>
    </w:rPr>
  </w:style>
  <w:style w:type="character" w:styleId="Hyperlink">
    <w:name w:val="Hyperlink"/>
    <w:rsid w:val="00BD75E7"/>
    <w:rPr>
      <w:color w:val="0000FF"/>
      <w:u w:val="single"/>
    </w:rPr>
  </w:style>
  <w:style w:type="character" w:styleId="FollowedHyperlink">
    <w:name w:val="FollowedHyperlink"/>
    <w:basedOn w:val="DefaultParagraphFont"/>
    <w:semiHidden/>
    <w:unhideWhenUsed/>
    <w:rsid w:val="00ED24B5"/>
    <w:rPr>
      <w:color w:val="800080" w:themeColor="followedHyperlink"/>
      <w:u w:val="single"/>
    </w:rPr>
  </w:style>
  <w:style w:type="paragraph" w:customStyle="1" w:styleId="Default">
    <w:name w:val="Default"/>
    <w:rsid w:val="004464BD"/>
    <w:pPr>
      <w:autoSpaceDE w:val="0"/>
      <w:autoSpaceDN w:val="0"/>
      <w:adjustRightInd w:val="0"/>
    </w:pPr>
    <w:rPr>
      <w:rFonts w:ascii="Verdana" w:hAnsi="Verdana" w:cs="Verdana"/>
      <w:color w:val="000000"/>
      <w:sz w:val="24"/>
      <w:szCs w:val="24"/>
      <w:lang w:val="en-US"/>
    </w:rPr>
  </w:style>
  <w:style w:type="character" w:styleId="Strong">
    <w:name w:val="Strong"/>
    <w:basedOn w:val="DefaultParagraphFont"/>
    <w:rsid w:val="00CC1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2031">
      <w:bodyDiv w:val="1"/>
      <w:marLeft w:val="0"/>
      <w:marRight w:val="0"/>
      <w:marTop w:val="0"/>
      <w:marBottom w:val="0"/>
      <w:divBdr>
        <w:top w:val="none" w:sz="0" w:space="0" w:color="auto"/>
        <w:left w:val="none" w:sz="0" w:space="0" w:color="auto"/>
        <w:bottom w:val="none" w:sz="0" w:space="0" w:color="auto"/>
        <w:right w:val="none" w:sz="0" w:space="0" w:color="auto"/>
      </w:divBdr>
    </w:div>
    <w:div w:id="609168614">
      <w:bodyDiv w:val="1"/>
      <w:marLeft w:val="0"/>
      <w:marRight w:val="0"/>
      <w:marTop w:val="0"/>
      <w:marBottom w:val="0"/>
      <w:divBdr>
        <w:top w:val="none" w:sz="0" w:space="0" w:color="auto"/>
        <w:left w:val="none" w:sz="0" w:space="0" w:color="auto"/>
        <w:bottom w:val="none" w:sz="0" w:space="0" w:color="auto"/>
        <w:right w:val="none" w:sz="0" w:space="0" w:color="auto"/>
      </w:divBdr>
    </w:div>
    <w:div w:id="1031027637">
      <w:bodyDiv w:val="1"/>
      <w:marLeft w:val="0"/>
      <w:marRight w:val="0"/>
      <w:marTop w:val="0"/>
      <w:marBottom w:val="0"/>
      <w:divBdr>
        <w:top w:val="none" w:sz="0" w:space="0" w:color="auto"/>
        <w:left w:val="none" w:sz="0" w:space="0" w:color="auto"/>
        <w:bottom w:val="none" w:sz="0" w:space="0" w:color="auto"/>
        <w:right w:val="none" w:sz="0" w:space="0" w:color="auto"/>
      </w:divBdr>
    </w:div>
    <w:div w:id="1078670950">
      <w:bodyDiv w:val="1"/>
      <w:marLeft w:val="0"/>
      <w:marRight w:val="0"/>
      <w:marTop w:val="0"/>
      <w:marBottom w:val="0"/>
      <w:divBdr>
        <w:top w:val="none" w:sz="0" w:space="0" w:color="auto"/>
        <w:left w:val="none" w:sz="0" w:space="0" w:color="auto"/>
        <w:bottom w:val="none" w:sz="0" w:space="0" w:color="auto"/>
        <w:right w:val="none" w:sz="0" w:space="0" w:color="auto"/>
      </w:divBdr>
    </w:div>
    <w:div w:id="1321081507">
      <w:bodyDiv w:val="1"/>
      <w:marLeft w:val="0"/>
      <w:marRight w:val="0"/>
      <w:marTop w:val="0"/>
      <w:marBottom w:val="0"/>
      <w:divBdr>
        <w:top w:val="none" w:sz="0" w:space="0" w:color="auto"/>
        <w:left w:val="none" w:sz="0" w:space="0" w:color="auto"/>
        <w:bottom w:val="none" w:sz="0" w:space="0" w:color="auto"/>
        <w:right w:val="none" w:sz="0" w:space="0" w:color="auto"/>
      </w:divBdr>
    </w:div>
    <w:div w:id="1900969288">
      <w:bodyDiv w:val="1"/>
      <w:marLeft w:val="0"/>
      <w:marRight w:val="0"/>
      <w:marTop w:val="0"/>
      <w:marBottom w:val="0"/>
      <w:divBdr>
        <w:top w:val="none" w:sz="0" w:space="0" w:color="auto"/>
        <w:left w:val="none" w:sz="0" w:space="0" w:color="auto"/>
        <w:bottom w:val="none" w:sz="0" w:space="0" w:color="auto"/>
        <w:right w:val="none" w:sz="0" w:space="0" w:color="auto"/>
      </w:divBdr>
    </w:div>
    <w:div w:id="21054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cap.gr/Default.aspx?id=929&amp;nt=19&amp;lang=1"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inkedin.com/company/icap-group/"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facebook.com/ICAPGROUPG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t.ly/2BSRUUh"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cap.g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yperlink" Target="https://www.youtube.com/user/icapgrou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ir.icap.gr/mailimages/PublishingServer/N.Kostantellos.JPG"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98B0-DDEB-4069-AEED-9A99BDDC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3677</Words>
  <Characters>22369</Characters>
  <Application>Microsoft Office Word</Application>
  <DocSecurity>0</DocSecurity>
  <Lines>186</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ICAP GROUP</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dc:creator>
  <cp:lastModifiedBy>Kalemis Constantinos</cp:lastModifiedBy>
  <cp:revision>12</cp:revision>
  <cp:lastPrinted>2020-02-25T12:35:00Z</cp:lastPrinted>
  <dcterms:created xsi:type="dcterms:W3CDTF">2020-04-13T15:39:00Z</dcterms:created>
  <dcterms:modified xsi:type="dcterms:W3CDTF">2020-04-14T13:55:00Z</dcterms:modified>
</cp:coreProperties>
</file>